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Pr="009E4024" w:rsidRDefault="00507694" w:rsidP="009E4024">
      <w:pPr>
        <w:spacing w:line="360" w:lineRule="auto"/>
        <w:rPr>
          <w:b/>
          <w:bCs/>
          <w:rtl/>
        </w:rPr>
      </w:pPr>
    </w:p>
    <w:tbl>
      <w:tblPr>
        <w:tblStyle w:val="a8"/>
        <w:bidiVisual/>
        <w:tblW w:w="8820" w:type="dxa"/>
        <w:jc w:val="center"/>
        <w:tblLook w:val="01E0" w:firstRow="1" w:lastRow="1" w:firstColumn="1" w:lastColumn="1" w:noHBand="0" w:noVBand="0"/>
      </w:tblPr>
      <w:tblGrid>
        <w:gridCol w:w="1332"/>
        <w:gridCol w:w="4162"/>
        <w:gridCol w:w="3326"/>
      </w:tblGrid>
      <w:tr w:rsidR="00CE2F98" w:rsidRPr="009E4024" w:rsidTr="0046211B">
        <w:trPr>
          <w:trHeight w:val="295"/>
          <w:jc w:val="center"/>
        </w:trPr>
        <w:tc>
          <w:tcPr>
            <w:tcW w:w="8820" w:type="dxa"/>
            <w:gridSpan w:val="3"/>
            <w:tcBorders>
              <w:top w:val="nil"/>
              <w:left w:val="nil"/>
              <w:bottom w:val="nil"/>
              <w:right w:val="nil"/>
            </w:tcBorders>
          </w:tcPr>
          <w:p w:rsidR="00CE2F98" w:rsidRDefault="00CE2F98" w:rsidP="009E4024">
            <w:pPr>
              <w:spacing w:line="360" w:lineRule="auto"/>
              <w:jc w:val="both"/>
              <w:rPr>
                <w:b/>
                <w:bCs/>
                <w:sz w:val="26"/>
                <w:szCs w:val="26"/>
                <w:rtl/>
              </w:rPr>
            </w:pPr>
            <w:r w:rsidRPr="009E4024">
              <w:rPr>
                <w:rFonts w:ascii="Arial" w:hAnsi="Arial" w:hint="cs"/>
                <w:b/>
                <w:bCs/>
                <w:sz w:val="26"/>
                <w:szCs w:val="26"/>
                <w:rtl/>
              </w:rPr>
              <w:t>ל</w:t>
            </w:r>
            <w:r w:rsidRPr="009E4024">
              <w:rPr>
                <w:rFonts w:ascii="Arial" w:hAnsi="Arial"/>
                <w:b/>
                <w:bCs/>
                <w:sz w:val="26"/>
                <w:szCs w:val="26"/>
                <w:rtl/>
              </w:rPr>
              <w:t xml:space="preserve">פני </w:t>
            </w:r>
            <w:r w:rsidRPr="009E4024">
              <w:rPr>
                <w:rFonts w:ascii="Arial" w:hAnsi="Arial" w:hint="cs"/>
                <w:b/>
                <w:bCs/>
                <w:sz w:val="26"/>
                <w:szCs w:val="26"/>
                <w:rtl/>
              </w:rPr>
              <w:t>כבוד ה</w:t>
            </w:r>
            <w:sdt>
              <w:sdtPr>
                <w:rPr>
                  <w:b/>
                  <w:bCs/>
                  <w:sz w:val="26"/>
                  <w:szCs w:val="26"/>
                  <w:rtl/>
                </w:rPr>
                <w:alias w:val="1574"/>
                <w:tag w:val="1574"/>
                <w:id w:val="-1615122647"/>
                <w:text w:multiLine="1"/>
              </w:sdtPr>
              <w:sdtEndPr/>
              <w:sdtContent>
                <w:r w:rsidRPr="009E4024">
                  <w:rPr>
                    <w:rFonts w:ascii="Arial" w:hAnsi="Arial"/>
                    <w:b/>
                    <w:bCs/>
                    <w:sz w:val="26"/>
                    <w:szCs w:val="26"/>
                    <w:rtl/>
                  </w:rPr>
                  <w:t xml:space="preserve">שופט </w:t>
                </w:r>
                <w:r w:rsidR="009E4024">
                  <w:rPr>
                    <w:rFonts w:ascii="Arial" w:hAnsi="Arial" w:hint="cs"/>
                    <w:b/>
                    <w:bCs/>
                    <w:sz w:val="26"/>
                    <w:szCs w:val="26"/>
                    <w:rtl/>
                  </w:rPr>
                  <w:t>ה</w:t>
                </w:r>
                <w:r w:rsidRPr="009E4024">
                  <w:rPr>
                    <w:rFonts w:ascii="Arial" w:hAnsi="Arial"/>
                    <w:b/>
                    <w:bCs/>
                    <w:sz w:val="26"/>
                    <w:szCs w:val="26"/>
                    <w:rtl/>
                  </w:rPr>
                  <w:t>בכיר</w:t>
                </w:r>
              </w:sdtContent>
            </w:sdt>
            <w:r w:rsidR="009E4024">
              <w:rPr>
                <w:rFonts w:ascii="Arial" w:hAnsi="Arial" w:hint="cs"/>
                <w:b/>
                <w:bCs/>
                <w:sz w:val="26"/>
                <w:szCs w:val="26"/>
                <w:rtl/>
              </w:rPr>
              <w:t xml:space="preserve"> </w:t>
            </w:r>
            <w:sdt>
              <w:sdtPr>
                <w:rPr>
                  <w:b/>
                  <w:bCs/>
                  <w:sz w:val="26"/>
                  <w:szCs w:val="26"/>
                  <w:rtl/>
                </w:rPr>
                <w:alias w:val="1573"/>
                <w:tag w:val="1573"/>
                <w:id w:val="-1715807626"/>
                <w:text w:multiLine="1"/>
              </w:sdtPr>
              <w:sdtEndPr/>
              <w:sdtContent>
                <w:r w:rsidRPr="009E4024">
                  <w:rPr>
                    <w:rFonts w:ascii="Arial" w:hAnsi="Arial"/>
                    <w:b/>
                    <w:bCs/>
                    <w:sz w:val="26"/>
                    <w:szCs w:val="26"/>
                    <w:rtl/>
                  </w:rPr>
                  <w:t>שאול אבינור</w:t>
                </w:r>
              </w:sdtContent>
            </w:sdt>
          </w:p>
          <w:p w:rsidR="009E4024" w:rsidRPr="009E4024" w:rsidRDefault="009E4024" w:rsidP="009E4024">
            <w:pPr>
              <w:spacing w:line="360" w:lineRule="auto"/>
              <w:jc w:val="both"/>
              <w:rPr>
                <w:rFonts w:ascii="Arial" w:hAnsi="Arial"/>
                <w:b/>
                <w:bCs/>
                <w:sz w:val="26"/>
                <w:szCs w:val="26"/>
              </w:rPr>
            </w:pPr>
          </w:p>
        </w:tc>
      </w:tr>
      <w:tr w:rsidR="00507694" w:rsidRPr="009E4024" w:rsidTr="004D24E2">
        <w:trPr>
          <w:trHeight w:val="355"/>
          <w:jc w:val="center"/>
        </w:trPr>
        <w:tc>
          <w:tcPr>
            <w:tcW w:w="885" w:type="dxa"/>
            <w:tcBorders>
              <w:top w:val="nil"/>
              <w:left w:val="nil"/>
              <w:bottom w:val="nil"/>
              <w:right w:val="nil"/>
            </w:tcBorders>
          </w:tcPr>
          <w:p w:rsidR="00507694" w:rsidRPr="009E4024" w:rsidRDefault="00632D94" w:rsidP="009E4024">
            <w:pPr>
              <w:spacing w:line="360" w:lineRule="auto"/>
              <w:jc w:val="both"/>
              <w:rPr>
                <w:rFonts w:ascii="Arial" w:hAnsi="Arial"/>
                <w:b/>
                <w:bCs/>
                <w:sz w:val="26"/>
                <w:szCs w:val="26"/>
              </w:rPr>
            </w:pPr>
            <w:r w:rsidRPr="009E4024">
              <w:rPr>
                <w:rFonts w:ascii="Arial" w:hAnsi="Arial" w:hint="cs"/>
                <w:b/>
                <w:bCs/>
                <w:sz w:val="26"/>
                <w:szCs w:val="26"/>
                <w:rtl/>
              </w:rPr>
              <w:t>ה</w:t>
            </w:r>
            <w:sdt>
              <w:sdtPr>
                <w:rPr>
                  <w:b/>
                  <w:bCs/>
                  <w:sz w:val="26"/>
                  <w:szCs w:val="26"/>
                  <w:rtl/>
                </w:rPr>
                <w:alias w:val="1180"/>
                <w:tag w:val="1180"/>
                <w:id w:val="-217131131"/>
                <w:text w:multiLine="1"/>
              </w:sdtPr>
              <w:sdtEndPr/>
              <w:sdtContent>
                <w:r w:rsidRPr="009E4024">
                  <w:rPr>
                    <w:rFonts w:ascii="Arial" w:hAnsi="Arial"/>
                    <w:b/>
                    <w:bCs/>
                    <w:sz w:val="26"/>
                    <w:szCs w:val="26"/>
                    <w:rtl/>
                  </w:rPr>
                  <w:t>מאשימה</w:t>
                </w:r>
                <w:r w:rsidR="009E4024">
                  <w:rPr>
                    <w:rFonts w:ascii="Arial" w:hAnsi="Arial" w:hint="cs"/>
                    <w:b/>
                    <w:bCs/>
                    <w:sz w:val="26"/>
                    <w:szCs w:val="26"/>
                    <w:rtl/>
                  </w:rPr>
                  <w:t>:</w:t>
                </w:r>
              </w:sdtContent>
            </w:sdt>
          </w:p>
        </w:tc>
        <w:tc>
          <w:tcPr>
            <w:tcW w:w="4384" w:type="dxa"/>
            <w:tcBorders>
              <w:top w:val="nil"/>
              <w:left w:val="nil"/>
              <w:bottom w:val="nil"/>
              <w:right w:val="nil"/>
            </w:tcBorders>
          </w:tcPr>
          <w:p w:rsidR="00507694" w:rsidRPr="009E4024" w:rsidRDefault="00DF45C4" w:rsidP="009E4024">
            <w:pPr>
              <w:spacing w:line="360" w:lineRule="auto"/>
              <w:rPr>
                <w:b/>
                <w:bCs/>
                <w:sz w:val="26"/>
                <w:szCs w:val="26"/>
                <w:rtl/>
              </w:rPr>
            </w:pPr>
            <w:sdt>
              <w:sdtPr>
                <w:rPr>
                  <w:b/>
                  <w:bCs/>
                  <w:sz w:val="26"/>
                  <w:szCs w:val="26"/>
                  <w:rtl/>
                </w:rPr>
                <w:alias w:val="1478"/>
                <w:tag w:val="1478"/>
                <w:id w:val="-1270384266"/>
                <w:text w:multiLine="1"/>
              </w:sdtPr>
              <w:sdtEndPr/>
              <w:sdtContent>
                <w:r w:rsidR="00A87018" w:rsidRPr="009E4024">
                  <w:rPr>
                    <w:rFonts w:ascii="Arial" w:hAnsi="Arial"/>
                    <w:b/>
                    <w:bCs/>
                    <w:sz w:val="26"/>
                    <w:szCs w:val="26"/>
                    <w:rtl/>
                  </w:rPr>
                  <w:t>מדינת ישראל</w:t>
                </w:r>
              </w:sdtContent>
            </w:sdt>
          </w:p>
          <w:p w:rsidR="007F745F" w:rsidRPr="009E4024" w:rsidRDefault="00212457" w:rsidP="009E4024">
            <w:pPr>
              <w:spacing w:line="360" w:lineRule="auto"/>
              <w:rPr>
                <w:rtl/>
              </w:rPr>
            </w:pPr>
            <w:r w:rsidRPr="009E4024">
              <w:rPr>
                <w:rFonts w:hint="cs"/>
                <w:rtl/>
              </w:rPr>
              <w:t>ע"י ב"כ עו"ד</w:t>
            </w:r>
            <w:r w:rsidR="009E4024" w:rsidRPr="009E4024">
              <w:rPr>
                <w:rFonts w:hint="cs"/>
                <w:rtl/>
              </w:rPr>
              <w:t xml:space="preserve"> רוית שפיר</w:t>
            </w:r>
          </w:p>
          <w:p w:rsidR="009E4024" w:rsidRPr="009E4024" w:rsidRDefault="009E4024" w:rsidP="009E4024">
            <w:pPr>
              <w:spacing w:line="360" w:lineRule="auto"/>
              <w:rPr>
                <w:b/>
                <w:bCs/>
                <w:sz w:val="26"/>
                <w:szCs w:val="26"/>
              </w:rPr>
            </w:pPr>
            <w:r w:rsidRPr="009E4024">
              <w:rPr>
                <w:rFonts w:hint="cs"/>
                <w:rtl/>
              </w:rPr>
              <w:t>פרקליטות מחוז תל אביב (פלילי)</w:t>
            </w:r>
          </w:p>
        </w:tc>
        <w:tc>
          <w:tcPr>
            <w:tcW w:w="3551" w:type="dxa"/>
            <w:tcBorders>
              <w:top w:val="nil"/>
              <w:left w:val="nil"/>
              <w:bottom w:val="nil"/>
              <w:right w:val="nil"/>
            </w:tcBorders>
          </w:tcPr>
          <w:p w:rsidR="00507694" w:rsidRPr="009E4024" w:rsidRDefault="00507694" w:rsidP="009E4024">
            <w:pPr>
              <w:spacing w:line="360" w:lineRule="auto"/>
              <w:jc w:val="both"/>
              <w:rPr>
                <w:rFonts w:ascii="Arial" w:hAnsi="Arial"/>
                <w:b/>
                <w:bCs/>
                <w:sz w:val="26"/>
                <w:szCs w:val="26"/>
              </w:rPr>
            </w:pPr>
          </w:p>
        </w:tc>
      </w:tr>
      <w:tr w:rsidR="00212457" w:rsidRPr="009E4024" w:rsidTr="004D24E2">
        <w:trPr>
          <w:trHeight w:val="373"/>
          <w:jc w:val="center"/>
        </w:trPr>
        <w:tc>
          <w:tcPr>
            <w:tcW w:w="885" w:type="dxa"/>
            <w:tcBorders>
              <w:top w:val="nil"/>
              <w:left w:val="nil"/>
              <w:bottom w:val="nil"/>
              <w:right w:val="nil"/>
            </w:tcBorders>
          </w:tcPr>
          <w:p w:rsidR="00212457" w:rsidRPr="009E4024" w:rsidRDefault="00212457" w:rsidP="009E4024">
            <w:pPr>
              <w:spacing w:line="360" w:lineRule="auto"/>
              <w:jc w:val="both"/>
              <w:rPr>
                <w:rFonts w:ascii="Arial" w:hAnsi="Arial"/>
                <w:b/>
                <w:bCs/>
                <w:sz w:val="26"/>
                <w:szCs w:val="26"/>
                <w:rtl/>
              </w:rPr>
            </w:pPr>
          </w:p>
        </w:tc>
        <w:tc>
          <w:tcPr>
            <w:tcW w:w="7935" w:type="dxa"/>
            <w:gridSpan w:val="2"/>
            <w:tcBorders>
              <w:top w:val="nil"/>
              <w:left w:val="nil"/>
              <w:bottom w:val="nil"/>
              <w:right w:val="nil"/>
            </w:tcBorders>
          </w:tcPr>
          <w:p w:rsidR="00212457" w:rsidRDefault="00212457" w:rsidP="009E4024">
            <w:pPr>
              <w:spacing w:line="360" w:lineRule="auto"/>
              <w:jc w:val="center"/>
              <w:rPr>
                <w:rFonts w:ascii="Arial" w:hAnsi="Arial"/>
                <w:b/>
                <w:bCs/>
                <w:sz w:val="26"/>
                <w:szCs w:val="26"/>
                <w:rtl/>
              </w:rPr>
            </w:pPr>
          </w:p>
          <w:p w:rsidR="009E4024" w:rsidRDefault="009E4024" w:rsidP="009E4024">
            <w:pPr>
              <w:spacing w:line="360" w:lineRule="auto"/>
              <w:jc w:val="center"/>
              <w:rPr>
                <w:rFonts w:ascii="Arial" w:hAnsi="Arial"/>
                <w:b/>
                <w:bCs/>
                <w:sz w:val="26"/>
                <w:szCs w:val="26"/>
                <w:rtl/>
              </w:rPr>
            </w:pPr>
          </w:p>
          <w:p w:rsidR="00F20F3D" w:rsidRPr="009E4024" w:rsidRDefault="00F20F3D" w:rsidP="009E4024">
            <w:pPr>
              <w:spacing w:line="360" w:lineRule="auto"/>
              <w:jc w:val="center"/>
              <w:rPr>
                <w:rFonts w:ascii="Arial" w:hAnsi="Arial"/>
                <w:b/>
                <w:bCs/>
                <w:sz w:val="26"/>
                <w:szCs w:val="26"/>
                <w:rtl/>
              </w:rPr>
            </w:pPr>
          </w:p>
          <w:p w:rsidR="00212457" w:rsidRPr="009E4024" w:rsidRDefault="00212457" w:rsidP="009E4024">
            <w:pPr>
              <w:spacing w:line="360" w:lineRule="auto"/>
              <w:jc w:val="center"/>
              <w:rPr>
                <w:rFonts w:ascii="Arial" w:hAnsi="Arial"/>
                <w:b/>
                <w:bCs/>
                <w:sz w:val="26"/>
                <w:szCs w:val="26"/>
                <w:rtl/>
              </w:rPr>
            </w:pPr>
            <w:r w:rsidRPr="009E4024">
              <w:rPr>
                <w:rFonts w:ascii="Arial" w:hAnsi="Arial"/>
                <w:b/>
                <w:bCs/>
                <w:sz w:val="26"/>
                <w:szCs w:val="26"/>
                <w:rtl/>
              </w:rPr>
              <w:t>נגד</w:t>
            </w:r>
          </w:p>
          <w:p w:rsidR="00212457" w:rsidRDefault="00212457" w:rsidP="009E4024">
            <w:pPr>
              <w:spacing w:line="360" w:lineRule="auto"/>
              <w:jc w:val="both"/>
              <w:rPr>
                <w:rFonts w:ascii="Arial" w:hAnsi="Arial"/>
                <w:b/>
                <w:bCs/>
                <w:sz w:val="26"/>
                <w:szCs w:val="26"/>
                <w:rtl/>
              </w:rPr>
            </w:pPr>
          </w:p>
          <w:p w:rsidR="00F20F3D" w:rsidRDefault="00F20F3D" w:rsidP="009E4024">
            <w:pPr>
              <w:spacing w:line="360" w:lineRule="auto"/>
              <w:jc w:val="both"/>
              <w:rPr>
                <w:rFonts w:ascii="Arial" w:hAnsi="Arial"/>
                <w:b/>
                <w:bCs/>
                <w:sz w:val="26"/>
                <w:szCs w:val="26"/>
                <w:rtl/>
              </w:rPr>
            </w:pPr>
          </w:p>
          <w:p w:rsidR="009E4024" w:rsidRPr="009E4024" w:rsidRDefault="009E4024" w:rsidP="009E4024">
            <w:pPr>
              <w:spacing w:line="360" w:lineRule="auto"/>
              <w:jc w:val="both"/>
              <w:rPr>
                <w:rFonts w:ascii="Arial" w:hAnsi="Arial"/>
                <w:b/>
                <w:bCs/>
                <w:sz w:val="26"/>
                <w:szCs w:val="26"/>
              </w:rPr>
            </w:pPr>
          </w:p>
        </w:tc>
      </w:tr>
      <w:tr w:rsidR="00212457" w:rsidRPr="009E4024" w:rsidTr="004D24E2">
        <w:trPr>
          <w:trHeight w:val="355"/>
          <w:jc w:val="center"/>
        </w:trPr>
        <w:tc>
          <w:tcPr>
            <w:tcW w:w="885" w:type="dxa"/>
            <w:tcBorders>
              <w:top w:val="nil"/>
              <w:left w:val="nil"/>
              <w:bottom w:val="nil"/>
              <w:right w:val="nil"/>
            </w:tcBorders>
          </w:tcPr>
          <w:p w:rsidR="00212457" w:rsidRPr="009E4024" w:rsidRDefault="00632D94" w:rsidP="009E4024">
            <w:pPr>
              <w:spacing w:line="360" w:lineRule="auto"/>
              <w:rPr>
                <w:rFonts w:ascii="Arial" w:hAnsi="Arial"/>
                <w:b/>
                <w:bCs/>
                <w:sz w:val="26"/>
                <w:szCs w:val="26"/>
                <w:rtl/>
              </w:rPr>
            </w:pPr>
            <w:r w:rsidRPr="009E4024">
              <w:rPr>
                <w:rFonts w:ascii="Arial" w:hAnsi="Arial" w:hint="cs"/>
                <w:b/>
                <w:bCs/>
                <w:sz w:val="26"/>
                <w:szCs w:val="26"/>
                <w:rtl/>
              </w:rPr>
              <w:t>ה</w:t>
            </w:r>
            <w:sdt>
              <w:sdtPr>
                <w:rPr>
                  <w:b/>
                  <w:bCs/>
                  <w:sz w:val="26"/>
                  <w:szCs w:val="26"/>
                  <w:rtl/>
                </w:rPr>
                <w:alias w:val="1184"/>
                <w:tag w:val="1184"/>
                <w:id w:val="-1508059094"/>
                <w:text w:multiLine="1"/>
              </w:sdtPr>
              <w:sdtEndPr/>
              <w:sdtContent>
                <w:r w:rsidR="009E4024">
                  <w:rPr>
                    <w:rFonts w:ascii="Arial" w:hAnsi="Arial"/>
                    <w:b/>
                    <w:bCs/>
                    <w:sz w:val="26"/>
                    <w:szCs w:val="26"/>
                    <w:rtl/>
                  </w:rPr>
                  <w:t>נאש</w:t>
                </w:r>
                <w:r w:rsidRPr="009E4024">
                  <w:rPr>
                    <w:rFonts w:ascii="Arial" w:hAnsi="Arial"/>
                    <w:b/>
                    <w:bCs/>
                    <w:sz w:val="26"/>
                    <w:szCs w:val="26"/>
                    <w:rtl/>
                  </w:rPr>
                  <w:t>ם</w:t>
                </w:r>
                <w:r w:rsidR="009E4024">
                  <w:rPr>
                    <w:rFonts w:ascii="Arial" w:hAnsi="Arial" w:hint="cs"/>
                    <w:b/>
                    <w:bCs/>
                    <w:sz w:val="26"/>
                    <w:szCs w:val="26"/>
                    <w:rtl/>
                  </w:rPr>
                  <w:t>:</w:t>
                </w:r>
              </w:sdtContent>
            </w:sdt>
          </w:p>
        </w:tc>
        <w:tc>
          <w:tcPr>
            <w:tcW w:w="4384" w:type="dxa"/>
            <w:tcBorders>
              <w:top w:val="nil"/>
              <w:left w:val="nil"/>
              <w:bottom w:val="nil"/>
              <w:right w:val="nil"/>
            </w:tcBorders>
          </w:tcPr>
          <w:p w:rsidR="00212457" w:rsidRPr="009E4024" w:rsidRDefault="00DF45C4" w:rsidP="009E4024">
            <w:pPr>
              <w:spacing w:line="360" w:lineRule="auto"/>
              <w:rPr>
                <w:b/>
                <w:bCs/>
                <w:sz w:val="26"/>
                <w:szCs w:val="26"/>
                <w:rtl/>
              </w:rPr>
            </w:pPr>
            <w:sdt>
              <w:sdtPr>
                <w:rPr>
                  <w:b/>
                  <w:bCs/>
                  <w:sz w:val="26"/>
                  <w:szCs w:val="26"/>
                  <w:rtl/>
                </w:rPr>
                <w:alias w:val="1486"/>
                <w:tag w:val="1486"/>
                <w:id w:val="-1964416617"/>
                <w:text w:multiLine="1"/>
              </w:sdtPr>
              <w:sdtEndPr/>
              <w:sdtContent>
                <w:r w:rsidR="00A87018" w:rsidRPr="009E4024">
                  <w:rPr>
                    <w:rFonts w:ascii="Arial" w:hAnsi="Arial"/>
                    <w:b/>
                    <w:bCs/>
                    <w:sz w:val="26"/>
                    <w:szCs w:val="26"/>
                    <w:rtl/>
                  </w:rPr>
                  <w:t>ספיאן עכל</w:t>
                </w:r>
              </w:sdtContent>
            </w:sdt>
          </w:p>
          <w:p w:rsidR="00212457" w:rsidRPr="009E4024" w:rsidRDefault="00212457" w:rsidP="009E4024">
            <w:pPr>
              <w:spacing w:line="360" w:lineRule="auto"/>
              <w:rPr>
                <w:sz w:val="26"/>
                <w:szCs w:val="26"/>
                <w:rtl/>
              </w:rPr>
            </w:pPr>
            <w:r w:rsidRPr="009E4024">
              <w:rPr>
                <w:rFonts w:hint="cs"/>
                <w:rtl/>
              </w:rPr>
              <w:t>ע"י ב"כ עו"ד</w:t>
            </w:r>
            <w:r w:rsidR="009E4024" w:rsidRPr="009E4024">
              <w:rPr>
                <w:rFonts w:hint="cs"/>
                <w:rtl/>
              </w:rPr>
              <w:t xml:space="preserve"> אבישג כהן</w:t>
            </w:r>
          </w:p>
        </w:tc>
        <w:tc>
          <w:tcPr>
            <w:tcW w:w="3551" w:type="dxa"/>
            <w:tcBorders>
              <w:top w:val="nil"/>
              <w:left w:val="nil"/>
              <w:bottom w:val="nil"/>
              <w:right w:val="nil"/>
            </w:tcBorders>
          </w:tcPr>
          <w:p w:rsidR="00212457" w:rsidRPr="009E4024" w:rsidRDefault="00212457" w:rsidP="009E4024">
            <w:pPr>
              <w:spacing w:line="360" w:lineRule="auto"/>
              <w:jc w:val="right"/>
              <w:rPr>
                <w:rFonts w:ascii="Arial" w:hAnsi="Arial"/>
                <w:b/>
                <w:bCs/>
                <w:sz w:val="26"/>
                <w:szCs w:val="26"/>
              </w:rPr>
            </w:pPr>
          </w:p>
        </w:tc>
      </w:tr>
    </w:tbl>
    <w:p w:rsidR="00507694" w:rsidRDefault="00507694" w:rsidP="009E4024">
      <w:pPr>
        <w:spacing w:line="360" w:lineRule="auto"/>
        <w:rPr>
          <w:rtl/>
        </w:rPr>
      </w:pPr>
    </w:p>
    <w:p w:rsidR="000D22AA" w:rsidRDefault="000D22AA" w:rsidP="009E4024">
      <w:pPr>
        <w:spacing w:line="360" w:lineRule="auto"/>
        <w:rPr>
          <w:rtl/>
        </w:rPr>
      </w:pPr>
    </w:p>
    <w:p w:rsidR="009E4024" w:rsidRDefault="009E4024" w:rsidP="009E4024">
      <w:pPr>
        <w:spacing w:line="360" w:lineRule="auto"/>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9E4024" w:rsidRDefault="00684E84" w:rsidP="009E4024">
            <w:pPr>
              <w:spacing w:after="120" w:line="360" w:lineRule="auto"/>
              <w:jc w:val="center"/>
              <w:rPr>
                <w:rFonts w:ascii="Arial" w:hAnsi="Arial"/>
                <w:sz w:val="36"/>
                <w:szCs w:val="36"/>
                <w:u w:val="single"/>
                <w:rtl/>
              </w:rPr>
            </w:pPr>
            <w:r w:rsidRPr="009E4024">
              <w:rPr>
                <w:rFonts w:ascii="Arial" w:hAnsi="Arial" w:hint="cs"/>
                <w:b/>
                <w:bCs/>
                <w:sz w:val="36"/>
                <w:szCs w:val="36"/>
                <w:u w:val="single"/>
                <w:rtl/>
              </w:rPr>
              <w:t>גזר דין</w:t>
            </w:r>
          </w:p>
        </w:tc>
      </w:tr>
    </w:tbl>
    <w:p w:rsidR="00802774" w:rsidRDefault="00802774" w:rsidP="00802774">
      <w:pPr>
        <w:numPr>
          <w:ilvl w:val="0"/>
          <w:numId w:val="3"/>
        </w:numPr>
        <w:spacing w:after="120" w:line="360" w:lineRule="auto"/>
        <w:ind w:left="368"/>
        <w:jc w:val="both"/>
        <w:rPr>
          <w:rFonts w:ascii="Tahoma" w:hAnsi="Tahoma"/>
          <w:b/>
          <w:bCs/>
          <w:u w:val="single"/>
          <w:rtl/>
        </w:rPr>
      </w:pPr>
      <w:r>
        <w:rPr>
          <w:rFonts w:ascii="Tahoma" w:hAnsi="Tahoma"/>
          <w:b/>
          <w:bCs/>
          <w:u w:val="single"/>
          <w:rtl/>
        </w:rPr>
        <w:t>רקע כללי ועיקר קביעות הכרעת הדין:</w:t>
      </w:r>
    </w:p>
    <w:p w:rsidR="00802774" w:rsidRDefault="00802774" w:rsidP="00027C5E">
      <w:pPr>
        <w:numPr>
          <w:ilvl w:val="0"/>
          <w:numId w:val="4"/>
        </w:numPr>
        <w:spacing w:after="120" w:line="360" w:lineRule="auto"/>
        <w:ind w:left="360"/>
        <w:jc w:val="both"/>
        <w:rPr>
          <w:rFonts w:ascii="Tahoma" w:hAnsi="Tahoma"/>
        </w:rPr>
      </w:pPr>
      <w:bookmarkStart w:id="0" w:name="ABSTRACT_START"/>
      <w:bookmarkEnd w:id="0"/>
      <w:r>
        <w:rPr>
          <w:rFonts w:ascii="Tahoma" w:hAnsi="Tahoma"/>
          <w:rtl/>
        </w:rPr>
        <w:t xml:space="preserve">הנאשם הורשע, לאחר שמיעת הראיות, בביצוע עבירה של </w:t>
      </w:r>
      <w:r>
        <w:rPr>
          <w:rFonts w:ascii="Tahoma" w:hAnsi="Tahoma"/>
          <w:b/>
          <w:bCs/>
          <w:rtl/>
        </w:rPr>
        <w:t>תקיפת שוטר בנסיבות מחמירות</w:t>
      </w:r>
      <w:r>
        <w:rPr>
          <w:rFonts w:ascii="Tahoma" w:hAnsi="Tahoma"/>
          <w:rtl/>
        </w:rPr>
        <w:t xml:space="preserve">, לפי הוראות סעיף 274(1) </w:t>
      </w:r>
      <w:r w:rsidR="00027C5E">
        <w:rPr>
          <w:rFonts w:ascii="Tahoma" w:hAnsi="Tahoma" w:hint="cs"/>
          <w:rtl/>
        </w:rPr>
        <w:t>(תקיפה בכוונה להכשיל את השוטר בתפקידו או למנוע או להפריע אותו מלמלאו)</w:t>
      </w:r>
      <w:r w:rsidR="002505B9">
        <w:rPr>
          <w:rFonts w:ascii="Tahoma" w:hAnsi="Tahoma" w:hint="cs"/>
          <w:rtl/>
        </w:rPr>
        <w:t>,</w:t>
      </w:r>
      <w:r w:rsidR="00027C5E">
        <w:rPr>
          <w:rFonts w:ascii="Tahoma" w:hAnsi="Tahoma" w:hint="cs"/>
          <w:rtl/>
        </w:rPr>
        <w:t xml:space="preserve"> ולפי הוראות </w:t>
      </w:r>
      <w:r>
        <w:rPr>
          <w:rFonts w:ascii="Tahoma" w:hAnsi="Tahoma"/>
          <w:rtl/>
        </w:rPr>
        <w:t xml:space="preserve">סעיף 274(2) </w:t>
      </w:r>
      <w:r w:rsidR="00027C5E">
        <w:rPr>
          <w:rFonts w:ascii="Tahoma" w:hAnsi="Tahoma" w:hint="cs"/>
          <w:rtl/>
        </w:rPr>
        <w:t xml:space="preserve">(תקיפה כשהמבצע מזוין בנשק חם או קר) </w:t>
      </w:r>
      <w:r>
        <w:rPr>
          <w:rFonts w:ascii="Tahoma" w:hAnsi="Tahoma"/>
          <w:rtl/>
        </w:rPr>
        <w:t>לחוק העונשין, תשל"ז-1977 (להלן – חוק העונשין). זאת, בגין תקיפה חמורה של השוטר רנ"ג רן סמסון, המשמש כרכז מודיעין בתחנת לב תל אביב (להלן – המתלונן).</w:t>
      </w:r>
    </w:p>
    <w:p w:rsidR="00802774" w:rsidRDefault="00802774" w:rsidP="00802774">
      <w:pPr>
        <w:numPr>
          <w:ilvl w:val="0"/>
          <w:numId w:val="4"/>
        </w:numPr>
        <w:spacing w:after="120" w:line="360" w:lineRule="auto"/>
        <w:ind w:left="360"/>
        <w:jc w:val="both"/>
        <w:rPr>
          <w:rFonts w:ascii="Tahoma" w:hAnsi="Tahoma"/>
        </w:rPr>
      </w:pPr>
      <w:r>
        <w:rPr>
          <w:rFonts w:ascii="Tahoma" w:hAnsi="Tahoma"/>
          <w:rtl/>
        </w:rPr>
        <w:t>כפי שנקבע בהכרעת הדין, ביום 15.03.2018, בשעה 17:00 או בסמוך לכך, נהג הנאשם בטרקטורון באיזור התחנה המרכזית הישנה בתל אביב, כשהוא מסיע על הטרקטורון את ח</w:t>
      </w:r>
      <w:r w:rsidR="00F20F3D">
        <w:rPr>
          <w:rFonts w:ascii="Tahoma" w:hAnsi="Tahoma"/>
          <w:rtl/>
        </w:rPr>
        <w:t>ברו (גיסו לשעבר)</w:t>
      </w:r>
      <w:r>
        <w:rPr>
          <w:rFonts w:ascii="Tahoma" w:hAnsi="Tahoma"/>
          <w:rtl/>
        </w:rPr>
        <w:t>. הנאשם נהג בטרקטורון במהירות ובפראות, לרבות על מדרכות, עד שהחנה את הטרקטורון בסמוך לבניין בדרך בגין 34 וירד ממנו. המתלונן, שהבחין בנאשם נוהג בפראות ועל מדרכות, ניגש אליו והורה לו לעמוד בצד. בתגובה החל הנאשם לקלל את המתלונן וביקש ממנו להזדהות. המתלונן הציג לפני הנאשם תעודת שוטר, הורה לנאשם להמתין ויצר קשר טלפוני עם צו</w:t>
      </w:r>
      <w:r w:rsidR="00F20F3D">
        <w:rPr>
          <w:rFonts w:ascii="Tahoma" w:hAnsi="Tahoma"/>
          <w:rtl/>
        </w:rPr>
        <w:t>ות בילוש לצורך זימון ניידת</w:t>
      </w:r>
      <w:r>
        <w:rPr>
          <w:rFonts w:ascii="Tahoma" w:hAnsi="Tahoma"/>
          <w:rtl/>
        </w:rPr>
        <w:t xml:space="preserve"> למקום. או אז עלה הנ</w:t>
      </w:r>
      <w:r w:rsidR="00F20F3D">
        <w:rPr>
          <w:rFonts w:ascii="Tahoma" w:hAnsi="Tahoma"/>
          <w:rtl/>
        </w:rPr>
        <w:t>אשם על הטרקטורון וניסה להימלט</w:t>
      </w:r>
      <w:r>
        <w:rPr>
          <w:rFonts w:ascii="Tahoma" w:hAnsi="Tahoma"/>
          <w:rtl/>
        </w:rPr>
        <w:t xml:space="preserve">. המתלונן נעמד מול הטרקטורון בניסיון למנוע מהנאשם לברוח, ובנסיבות אלה תקף הנאשם </w:t>
      </w:r>
      <w:r>
        <w:rPr>
          <w:rFonts w:ascii="Tahoma" w:hAnsi="Tahoma"/>
          <w:rtl/>
        </w:rPr>
        <w:lastRenderedPageBreak/>
        <w:t>את המתלונן באופן ברוטלי בכך ששלף מיכל גז פלפל</w:t>
      </w:r>
      <w:r w:rsidR="00F20F3D">
        <w:rPr>
          <w:rFonts w:ascii="Tahoma" w:hAnsi="Tahoma" w:hint="cs"/>
          <w:rtl/>
        </w:rPr>
        <w:t>,</w:t>
      </w:r>
      <w:r>
        <w:rPr>
          <w:rFonts w:ascii="Tahoma" w:hAnsi="Tahoma"/>
          <w:rtl/>
        </w:rPr>
        <w:t xml:space="preserve"> שהיה ברשותו</w:t>
      </w:r>
      <w:r w:rsidR="00F20F3D">
        <w:rPr>
          <w:rFonts w:ascii="Tahoma" w:hAnsi="Tahoma" w:hint="cs"/>
          <w:rtl/>
        </w:rPr>
        <w:t>,</w:t>
      </w:r>
      <w:r>
        <w:rPr>
          <w:rFonts w:ascii="Tahoma" w:hAnsi="Tahoma"/>
          <w:rtl/>
        </w:rPr>
        <w:t xml:space="preserve"> וריסס את הגז לתוך עיניו של המתלונן, מטווח אפס.</w:t>
      </w:r>
    </w:p>
    <w:p w:rsidR="00802774" w:rsidRDefault="00802774" w:rsidP="00802774">
      <w:pPr>
        <w:numPr>
          <w:ilvl w:val="0"/>
          <w:numId w:val="4"/>
        </w:numPr>
        <w:spacing w:after="120" w:line="360" w:lineRule="auto"/>
        <w:ind w:left="360"/>
        <w:jc w:val="both"/>
        <w:rPr>
          <w:rFonts w:ascii="Tahoma" w:hAnsi="Tahoma"/>
        </w:rPr>
      </w:pPr>
      <w:r>
        <w:rPr>
          <w:rFonts w:ascii="Tahoma" w:hAnsi="Tahoma"/>
          <w:rtl/>
        </w:rPr>
        <w:t>הדיונים המקדמיים החלו לפני מותב קודם והתמשכו</w:t>
      </w:r>
      <w:r w:rsidR="00F20F3D">
        <w:rPr>
          <w:rFonts w:ascii="Tahoma" w:hAnsi="Tahoma" w:hint="cs"/>
          <w:rtl/>
        </w:rPr>
        <w:t>,</w:t>
      </w:r>
      <w:r w:rsidR="002505B9">
        <w:rPr>
          <w:rFonts w:ascii="Tahoma" w:hAnsi="Tahoma"/>
          <w:rtl/>
        </w:rPr>
        <w:t xml:space="preserve"> בין השאר </w:t>
      </w:r>
      <w:r w:rsidR="002505B9">
        <w:rPr>
          <w:rFonts w:ascii="Tahoma" w:hAnsi="Tahoma" w:hint="cs"/>
          <w:rtl/>
        </w:rPr>
        <w:t>בשל</w:t>
      </w:r>
      <w:r>
        <w:rPr>
          <w:rFonts w:ascii="Tahoma" w:hAnsi="Tahoma"/>
          <w:rtl/>
        </w:rPr>
        <w:t xml:space="preserve"> בקשות </w:t>
      </w:r>
      <w:r w:rsidR="00F20F3D">
        <w:rPr>
          <w:rFonts w:ascii="Tahoma" w:hAnsi="Tahoma"/>
          <w:rtl/>
        </w:rPr>
        <w:t>למתן צו להמצאת מסמכים</w:t>
      </w:r>
      <w:r>
        <w:rPr>
          <w:rFonts w:ascii="Tahoma" w:hAnsi="Tahoma"/>
          <w:rtl/>
        </w:rPr>
        <w:t xml:space="preserve"> אותן הגישה ההגנה על רקע טענותיה להתעמרות משטרתית בנאשם לאחר קרות האירוע, לרבות בטענות לניהול חקירות שווא וחיפושי שווא, וכן לצרכי הוכחת טענות להגנה מן הצדק. ואולם, בקשות אלה נדחו (למעט בהקשר למסמך אחד), תוך שבית המשפט קבע – לאחר שבחן את החומרים שהתבקשו על ידי ההגנה – כי לא נמצא "</w:t>
      </w:r>
      <w:r>
        <w:rPr>
          <w:rFonts w:ascii="Tahoma" w:hAnsi="Tahoma"/>
          <w:b/>
          <w:bCs/>
          <w:rtl/>
        </w:rPr>
        <w:t xml:space="preserve">בסיס כלשהו להתנהגות המצביע על התעמרות </w:t>
      </w:r>
      <w:r>
        <w:rPr>
          <w:rFonts w:ascii="Tahoma" w:hAnsi="Tahoma"/>
          <w:rtl/>
        </w:rPr>
        <w:t xml:space="preserve">(בנאשם – ש.א.) </w:t>
      </w:r>
      <w:r>
        <w:rPr>
          <w:rFonts w:ascii="Tahoma" w:hAnsi="Tahoma"/>
          <w:b/>
          <w:bCs/>
          <w:rtl/>
        </w:rPr>
        <w:t>בכל אחד מהגוונים שפורטו לעיל או בכל דרך אחרת</w:t>
      </w:r>
      <w:r>
        <w:rPr>
          <w:rFonts w:ascii="Tahoma" w:hAnsi="Tahoma"/>
          <w:rtl/>
        </w:rPr>
        <w:t>" (ר' בפרוטוקול, בעמ' 13, וכן בהכרעת הדין, בפסקה 3).</w:t>
      </w:r>
    </w:p>
    <w:p w:rsidR="00802774" w:rsidRDefault="00802774" w:rsidP="00F20F3D">
      <w:pPr>
        <w:numPr>
          <w:ilvl w:val="0"/>
          <w:numId w:val="4"/>
        </w:numPr>
        <w:spacing w:after="120" w:line="360" w:lineRule="auto"/>
        <w:ind w:left="360"/>
        <w:jc w:val="both"/>
        <w:rPr>
          <w:rFonts w:ascii="Tahoma" w:hAnsi="Tahoma"/>
          <w:rtl/>
        </w:rPr>
      </w:pPr>
      <w:r>
        <w:rPr>
          <w:rFonts w:ascii="Tahoma" w:hAnsi="Tahoma"/>
          <w:rtl/>
        </w:rPr>
        <w:t xml:space="preserve">בתשובת הנאשם לאישום, שנשמעה לבסוף מפי באת-כוחו, הודתה ההגנה בכך שהנאשם נהג בטרקטורון במקום ובזמן הנטענים, אך לא בפראות או על מדרכות. אשר לתקיפה </w:t>
      </w:r>
      <w:r w:rsidR="00F20F3D">
        <w:rPr>
          <w:rFonts w:ascii="Tahoma" w:hAnsi="Tahoma" w:hint="cs"/>
          <w:rtl/>
        </w:rPr>
        <w:t xml:space="preserve">הנטענת </w:t>
      </w:r>
      <w:r>
        <w:rPr>
          <w:rFonts w:ascii="Tahoma" w:hAnsi="Tahoma"/>
          <w:rtl/>
        </w:rPr>
        <w:t xml:space="preserve">כפרה הסניגורית בעובדות והוסיפה כי השוטר הוא שתקף את הנאשם והתנהג בצורה לא הולמת. לעניין השימוש שעשה הנאשם בגז הפלפל </w:t>
      </w:r>
      <w:r w:rsidR="00F20F3D">
        <w:rPr>
          <w:rFonts w:ascii="Tahoma" w:hAnsi="Tahoma" w:hint="cs"/>
          <w:rtl/>
        </w:rPr>
        <w:t xml:space="preserve">בעת האירוע </w:t>
      </w:r>
      <w:r>
        <w:rPr>
          <w:rFonts w:ascii="Tahoma" w:hAnsi="Tahoma"/>
          <w:rtl/>
        </w:rPr>
        <w:t xml:space="preserve">לא ניתנה באותו השלב תשובה, אך כפי שהובהר בהמשך הדרך </w:t>
      </w:r>
      <w:r w:rsidR="00F20F3D">
        <w:rPr>
          <w:rFonts w:ascii="Tahoma" w:hAnsi="Tahoma" w:hint="cs"/>
          <w:rtl/>
        </w:rPr>
        <w:t xml:space="preserve">לא היתה בין הצדדים </w:t>
      </w:r>
      <w:r>
        <w:rPr>
          <w:rFonts w:ascii="Tahoma" w:hAnsi="Tahoma"/>
          <w:rtl/>
        </w:rPr>
        <w:t>מחלוקת על כך שהנאשם אמנם עשה שימוש בגז כאמור.</w:t>
      </w:r>
    </w:p>
    <w:p w:rsidR="00802774" w:rsidRDefault="00802774" w:rsidP="00802774">
      <w:pPr>
        <w:numPr>
          <w:ilvl w:val="0"/>
          <w:numId w:val="4"/>
        </w:numPr>
        <w:spacing w:after="120" w:line="360" w:lineRule="auto"/>
        <w:ind w:left="360"/>
        <w:jc w:val="both"/>
        <w:rPr>
          <w:rFonts w:ascii="Tahoma" w:hAnsi="Tahoma"/>
        </w:rPr>
      </w:pPr>
      <w:r>
        <w:rPr>
          <w:rFonts w:ascii="Tahoma" w:hAnsi="Tahoma"/>
          <w:rtl/>
        </w:rPr>
        <w:t xml:space="preserve">גדר המחלוקת העובדתית בין הצדדים, כפי שהוגדר בתשובה לאישום, היה אפוא מצומצם למדי. עם זאת, הנאשם עמד – כפי זכותו – על ניהול משפטו במלואו. בנסיבות אלה העידו לפניי במהלך המשפט עדים רבים, כולל שלושה עדים במסגרת פרשת ההגנה, וכן הוגש קלסר מוצגים. הכרעת הדין שניתנה לאחר שמיעת הראיות היתה אפוא, </w:t>
      </w:r>
      <w:r w:rsidR="00F26B86">
        <w:rPr>
          <w:rFonts w:ascii="Tahoma" w:hAnsi="Tahoma" w:hint="cs"/>
          <w:rtl/>
        </w:rPr>
        <w:t>ו</w:t>
      </w:r>
      <w:r>
        <w:rPr>
          <w:rFonts w:ascii="Tahoma" w:hAnsi="Tahoma"/>
          <w:rtl/>
        </w:rPr>
        <w:t>מטבע הדברים, רחבת היקף. ברי כי אין מקום כאן לחזור על כל שנקבע בהכרעת הדין, והמעיין יעיין שם. כאן, ולצרכי גזר הדין בלבד, יצוינו בתמצית הקביעות הרלוואנטיות.</w:t>
      </w:r>
    </w:p>
    <w:p w:rsidR="00802774" w:rsidRDefault="00802774" w:rsidP="00802774">
      <w:pPr>
        <w:numPr>
          <w:ilvl w:val="0"/>
          <w:numId w:val="4"/>
        </w:numPr>
        <w:spacing w:after="120" w:line="360" w:lineRule="auto"/>
        <w:ind w:left="360"/>
        <w:jc w:val="both"/>
        <w:rPr>
          <w:rFonts w:ascii="Tahoma" w:hAnsi="Tahoma"/>
        </w:rPr>
      </w:pPr>
      <w:r>
        <w:rPr>
          <w:rFonts w:ascii="Tahoma" w:hAnsi="Tahoma"/>
          <w:rtl/>
        </w:rPr>
        <w:t>בהכרעת הדין הועדפה – ובאופן חד משמעי – גרסת המתלונן על פני גרסת הנאשם. לעניין גרסת הנאשם נקבע כי מדובר בגרסה מופרכת, שהשתנתה והתפתחה הן במהלך החקירה והן במהלך המשפט, תוך אמירות מועצמות על פניהן, חסרות כל היגיון פנימי או חיצוני ואף כבושות (בהכרעת הדין, פסקאות 80-79 ופסקה 93). נקבע, כי עקב המפגש עם השוטר-המתלונן נכנס הנאשם ללחץ רב משום שאין בידיו רישיון נהיגה והטרקטורון עלה לו ממון רב, וממילא הוא חשש מההשלכות הברורות. הנאשם ריסס אפוא את המתלונן בעיניו, מטווח אפס, ובכך איפשר לו ולחברו להימלט מהזירה ולהעלים ראיות (מיכל הגז והטרקטורון יקר הערך), כאשר השתלשלות מעשי הנאשם לאחר מכן – לרבות בהחלפת חולצה והעברתה לכביסה, כמו גם הימלטות גם מביתו – מלמדת על חששו מחקירת המשטרה (שם, פסקאות 85-83).</w:t>
      </w:r>
    </w:p>
    <w:p w:rsidR="00802774" w:rsidRDefault="00802774" w:rsidP="00802774">
      <w:pPr>
        <w:numPr>
          <w:ilvl w:val="0"/>
          <w:numId w:val="4"/>
        </w:numPr>
        <w:spacing w:after="120" w:line="360" w:lineRule="auto"/>
        <w:ind w:left="360"/>
        <w:jc w:val="both"/>
        <w:rPr>
          <w:rFonts w:ascii="Tahoma" w:hAnsi="Tahoma"/>
        </w:rPr>
      </w:pPr>
      <w:r>
        <w:rPr>
          <w:rFonts w:ascii="Tahoma" w:hAnsi="Tahoma"/>
          <w:rtl/>
        </w:rPr>
        <w:t xml:space="preserve">בהכרעת הדין נדחתה טענת הנאשם שלפיה המתלונן תקף אותו </w:t>
      </w:r>
      <w:r w:rsidR="002505B9">
        <w:rPr>
          <w:rFonts w:ascii="Tahoma" w:hAnsi="Tahoma" w:hint="cs"/>
          <w:rtl/>
        </w:rPr>
        <w:t xml:space="preserve">תחילה </w:t>
      </w:r>
      <w:r>
        <w:rPr>
          <w:rFonts w:ascii="Tahoma" w:hAnsi="Tahoma"/>
          <w:rtl/>
        </w:rPr>
        <w:t>ונקבע כי לא היתה אלימות מצד השוטר. נקבע כי ניתן אמנם להניח שהמתלונן, טיפוס מחוספס-משהו, לא פנה אל הנאשם – בפרט בהתחשב בנסיבות הזמן והמקום – באופן המנומס ביותר, ואולי אף דיבר אליו בטון בוטה, אך בו</w:t>
      </w:r>
      <w:r w:rsidR="002505B9">
        <w:rPr>
          <w:rFonts w:ascii="Tahoma" w:hAnsi="Tahoma"/>
          <w:rtl/>
        </w:rPr>
        <w:t xml:space="preserve">ודאי שלא היה בכך כדי להצדיק </w:t>
      </w:r>
      <w:r>
        <w:rPr>
          <w:rFonts w:ascii="Tahoma" w:hAnsi="Tahoma"/>
          <w:rtl/>
        </w:rPr>
        <w:t xml:space="preserve">תקיפה מצד הנאשם; תקיפה שנעשתה לצרכי הימלטות. גם הקללות שהשמיע המתלונן היו לרקע כאבי התופת מהם סבל – לאחר שהותקף </w:t>
      </w:r>
      <w:r>
        <w:rPr>
          <w:rFonts w:ascii="Tahoma" w:hAnsi="Tahoma"/>
          <w:rtl/>
        </w:rPr>
        <w:lastRenderedPageBreak/>
        <w:t>על ידי הנאשם בריסוס גז פלפל, מטווח אפס, לתוך עיניו – ואין כל אפשרות לגזור מהן סיפור של אלימות משטרתית, כביכול (בהכרעת הדין, פסקאות 92-90).</w:t>
      </w:r>
    </w:p>
    <w:p w:rsidR="00802774" w:rsidRDefault="00802774" w:rsidP="005D0C0C">
      <w:pPr>
        <w:numPr>
          <w:ilvl w:val="0"/>
          <w:numId w:val="4"/>
        </w:numPr>
        <w:spacing w:after="120" w:line="360" w:lineRule="auto"/>
        <w:ind w:left="360"/>
        <w:jc w:val="both"/>
        <w:rPr>
          <w:rFonts w:ascii="Tahoma" w:hAnsi="Tahoma"/>
        </w:rPr>
      </w:pPr>
      <w:r>
        <w:rPr>
          <w:rFonts w:ascii="Tahoma" w:hAnsi="Tahoma"/>
          <w:rtl/>
        </w:rPr>
        <w:t>טענות ההגנה למחדלי חקירה ולפסילת ראיות, כמו גם להגנה מן הצדק, נדחו. אשר לטרוניית הסניגורית על כך שחקירת התיק נוהלה בתחנת לב תל אביב, בה כזכור משרת המתלונן, נקבע כי עקרונית מוטב שחקירה בחשד לעבירות נגד שוטרים לא תתנהל בתחנה בה משרתים אותם שוטרים. עם זאת נקבע, כי במקרה הקונקרטי דנא לא הצביעה ההגנה על כל פעילות בעניינו של הנאשם שהיתה כרוכה בהפעלת אלימות נ</w:t>
      </w:r>
      <w:r w:rsidR="009C7ED6">
        <w:rPr>
          <w:rFonts w:ascii="Tahoma" w:hAnsi="Tahoma"/>
          <w:rtl/>
        </w:rPr>
        <w:t>גדו או באי חוקיות מהותית אחרת</w:t>
      </w:r>
      <w:r w:rsidR="009C7ED6">
        <w:rPr>
          <w:rFonts w:ascii="Tahoma" w:hAnsi="Tahoma" w:hint="cs"/>
          <w:rtl/>
        </w:rPr>
        <w:t xml:space="preserve">. יתר על כן, </w:t>
      </w:r>
      <w:r>
        <w:rPr>
          <w:rFonts w:ascii="Tahoma" w:hAnsi="Tahoma"/>
          <w:rtl/>
        </w:rPr>
        <w:t>סקירת מכלול הראיות מלמדת דווקא על חקירה מקצועית, בגדרי הסביר, שלא נפלו בה מחדלים מהותיים (בהכרעת הדין, פסקאות 97-95).</w:t>
      </w:r>
    </w:p>
    <w:p w:rsidR="00802774" w:rsidRDefault="00802774" w:rsidP="00802774">
      <w:pPr>
        <w:spacing w:after="120" w:line="360" w:lineRule="auto"/>
        <w:jc w:val="both"/>
        <w:rPr>
          <w:rFonts w:ascii="Tahoma" w:hAnsi="Tahoma"/>
        </w:rPr>
      </w:pPr>
    </w:p>
    <w:p w:rsidR="00802774" w:rsidRDefault="00802774" w:rsidP="00802774">
      <w:pPr>
        <w:numPr>
          <w:ilvl w:val="0"/>
          <w:numId w:val="3"/>
        </w:numPr>
        <w:spacing w:after="120" w:line="360" w:lineRule="auto"/>
        <w:ind w:left="368"/>
        <w:jc w:val="both"/>
        <w:rPr>
          <w:rFonts w:ascii="Tahoma" w:hAnsi="Tahoma"/>
          <w:b/>
          <w:bCs/>
          <w:u w:val="single"/>
          <w:rtl/>
        </w:rPr>
      </w:pPr>
      <w:r>
        <w:rPr>
          <w:rFonts w:ascii="Tahoma" w:hAnsi="Tahoma"/>
          <w:b/>
          <w:bCs/>
          <w:u w:val="single"/>
          <w:rtl/>
        </w:rPr>
        <w:t>עיקר הראיות והטיעונים לקביעת העונש:</w:t>
      </w:r>
    </w:p>
    <w:p w:rsidR="00802774" w:rsidRDefault="00802774" w:rsidP="009C7ED6">
      <w:pPr>
        <w:numPr>
          <w:ilvl w:val="0"/>
          <w:numId w:val="4"/>
        </w:numPr>
        <w:spacing w:after="120" w:line="360" w:lineRule="auto"/>
        <w:ind w:left="360"/>
        <w:jc w:val="both"/>
        <w:rPr>
          <w:rFonts w:ascii="Tahoma" w:hAnsi="Tahoma"/>
        </w:rPr>
      </w:pPr>
      <w:r>
        <w:rPr>
          <w:rFonts w:ascii="Tahoma" w:hAnsi="Tahoma"/>
          <w:rtl/>
        </w:rPr>
        <w:t>ב"כ המאשימה הגישה, כראיה לקביעת העונש, את תדפיס המידע הפלילי של הנאשם. כעולה מתדפיס זה לנאשם, יליד שנת 1993 (בן 30 שנים כיום), עבר פלילי מכביד הכולל שש הרשעות ושני רישומים ללא הרשעה מבתי משפט לנוער – במגוון של עבירות, שחלק ניכר מהן בתחום האלימות. הרשעתו הקודמת האחרונה של הנאשם, בגין תקיפה סתם של בת זוג, היא משנת 2021 ובגין עבירה שנעברה בעת ש</w:t>
      </w:r>
      <w:r w:rsidR="009C7ED6">
        <w:rPr>
          <w:rFonts w:ascii="Tahoma" w:hAnsi="Tahoma" w:hint="cs"/>
          <w:rtl/>
        </w:rPr>
        <w:t>תיק זה כבר היה תלוי ועומד נגדו</w:t>
      </w:r>
      <w:r>
        <w:rPr>
          <w:rFonts w:ascii="Tahoma" w:hAnsi="Tahoma"/>
          <w:rtl/>
        </w:rPr>
        <w:t xml:space="preserve">. בנוסף, הנאשם נשפט בעברו, מספר פעמים, לעונשי מאסר בפועל משמעותיים. בהתייחס לעבר פלילי זה הדגישה ב"כ המאשימה כי מעורבותו של הנאשם עם החוק החלה עוד בעת שהיה </w:t>
      </w:r>
      <w:r w:rsidR="009C7ED6">
        <w:rPr>
          <w:rFonts w:ascii="Tahoma" w:hAnsi="Tahoma" w:hint="cs"/>
          <w:rtl/>
        </w:rPr>
        <w:t xml:space="preserve">נער </w:t>
      </w:r>
      <w:r>
        <w:rPr>
          <w:rFonts w:ascii="Tahoma" w:hAnsi="Tahoma"/>
          <w:rtl/>
        </w:rPr>
        <w:t xml:space="preserve">בן 13 </w:t>
      </w:r>
      <w:r w:rsidR="009C7ED6">
        <w:rPr>
          <w:rFonts w:ascii="Tahoma" w:hAnsi="Tahoma" w:hint="cs"/>
          <w:rtl/>
        </w:rPr>
        <w:t xml:space="preserve">שנים </w:t>
      </w:r>
      <w:r>
        <w:rPr>
          <w:rFonts w:ascii="Tahoma" w:hAnsi="Tahoma"/>
          <w:rtl/>
        </w:rPr>
        <w:t>והתמשכה מאז, והיא כוללת הרשעות גם בגין עבירות מתחום הסדר הציבורי – לרבות בריחה ממשמורת ועבירות נגד עובדי ציבור – ומלמדת שעסקינן באדם שאין עליו מוראו של חוק.</w:t>
      </w:r>
    </w:p>
    <w:p w:rsidR="00802774" w:rsidRDefault="00802774" w:rsidP="00802774">
      <w:pPr>
        <w:numPr>
          <w:ilvl w:val="0"/>
          <w:numId w:val="4"/>
        </w:numPr>
        <w:spacing w:after="120" w:line="360" w:lineRule="auto"/>
        <w:ind w:left="360"/>
        <w:jc w:val="both"/>
        <w:rPr>
          <w:rFonts w:ascii="Tahoma" w:hAnsi="Tahoma"/>
        </w:rPr>
      </w:pPr>
      <w:r>
        <w:rPr>
          <w:rFonts w:ascii="Tahoma" w:hAnsi="Tahoma"/>
          <w:rtl/>
        </w:rPr>
        <w:t xml:space="preserve">בטיעוניה הדגישה ב"כ המאשימה את הברוטליות שבתקיפה, כפי שנקבעה בהכרעת הדין, תוך שטענה כי מדובר בתקיפה חמורה במיוחד ואף אכזרית, המלמדת על תעוזה חסרת רסן ואימפולסיבית של הנאשם. התקיפה הפתיעה את המתלונן ותפסה אותו כשאינו מוכן להתגונן מפני הנאשם, ואך במזל הסתיים האירוע ללא נזק בלתי הפיך לעיני המתלונן-השוטר. בהקשר זה הפנתה ב"כ המאשימה לעדות המתלונן, שבין השאר תיאר את כאבי התופת מהם סבל לאחר הריסוס, כשאיבד לרגע את ראייתו וחשש כי הוא מתעוור. עוד הדגישה ב"כ המאשימה כי בהכרעת הדין נדחו טענותיו של הנאשם שלפיהן המתלונן כביכול הפעיל כלפיו אלימות, כאשר הלכה למעשה תקיפת המתלונן בוצעה ללא כל התגרות קודמת. </w:t>
      </w:r>
    </w:p>
    <w:p w:rsidR="00802774" w:rsidRDefault="00802774" w:rsidP="00802774">
      <w:pPr>
        <w:numPr>
          <w:ilvl w:val="0"/>
          <w:numId w:val="4"/>
        </w:numPr>
        <w:spacing w:after="120" w:line="360" w:lineRule="auto"/>
        <w:ind w:left="360"/>
        <w:jc w:val="both"/>
        <w:rPr>
          <w:rFonts w:ascii="Tahoma" w:hAnsi="Tahoma"/>
        </w:rPr>
      </w:pPr>
      <w:r>
        <w:rPr>
          <w:rFonts w:ascii="Tahoma" w:hAnsi="Tahoma" w:hint="cs"/>
          <w:rtl/>
        </w:rPr>
        <w:t>אשר לערכים החברתיים, שנפגעו כתולדה מביצוע העבירות, הדגישה ב"כ המאשימה את הפגיעה בהגנה</w:t>
      </w:r>
      <w:r w:rsidR="009C7ED6">
        <w:rPr>
          <w:rFonts w:ascii="Tahoma" w:hAnsi="Tahoma" w:hint="cs"/>
          <w:rtl/>
        </w:rPr>
        <w:t xml:space="preserve"> על שלטון החוק והסדר הציבורי, וב</w:t>
      </w:r>
      <w:r>
        <w:rPr>
          <w:rFonts w:ascii="Tahoma" w:hAnsi="Tahoma" w:hint="cs"/>
          <w:rtl/>
        </w:rPr>
        <w:t>הגנה על ביטחון עובדי הציבור המבצעים את עבודתם כדין. בהקשר זה הפנתה ב"כ המאשימה לפסיקה רלוואנטית, הקובעת את הצו</w:t>
      </w:r>
      <w:r w:rsidR="009C7ED6">
        <w:rPr>
          <w:rFonts w:ascii="Tahoma" w:hAnsi="Tahoma" w:hint="cs"/>
          <w:rtl/>
        </w:rPr>
        <w:t>רך להגן על שוטרים החשופים לפגיעות</w:t>
      </w:r>
      <w:r>
        <w:rPr>
          <w:rFonts w:ascii="Tahoma" w:hAnsi="Tahoma" w:hint="cs"/>
          <w:rtl/>
        </w:rPr>
        <w:t xml:space="preserve"> מעצם מילוי תפקידם. שוטרים היוצאים למילוי תפקידיהם צריכים למלא אותם ללא </w:t>
      </w:r>
      <w:r w:rsidR="009C7ED6">
        <w:rPr>
          <w:rFonts w:ascii="Tahoma" w:hAnsi="Tahoma" w:hint="cs"/>
          <w:rtl/>
        </w:rPr>
        <w:t xml:space="preserve">כל </w:t>
      </w:r>
      <w:r>
        <w:rPr>
          <w:rFonts w:ascii="Tahoma" w:hAnsi="Tahoma" w:hint="cs"/>
          <w:rtl/>
        </w:rPr>
        <w:t xml:space="preserve">מורא ופחד ואין להלום מצב שבו </w:t>
      </w:r>
      <w:r w:rsidR="009C7ED6">
        <w:rPr>
          <w:rFonts w:ascii="Tahoma" w:hAnsi="Tahoma" w:hint="cs"/>
          <w:rtl/>
        </w:rPr>
        <w:t>הם יחששו לבצע את תפקיד</w:t>
      </w:r>
      <w:r>
        <w:rPr>
          <w:rFonts w:ascii="Tahoma" w:hAnsi="Tahoma" w:hint="cs"/>
          <w:rtl/>
        </w:rPr>
        <w:t xml:space="preserve">ם מחשש לתקיפות ולחבלות. עוד הדגישה כי במקרה דנא עסקינן בהרשעה בתקיפת שוטר </w:t>
      </w:r>
      <w:r>
        <w:rPr>
          <w:rFonts w:ascii="Tahoma" w:hAnsi="Tahoma" w:hint="cs"/>
          <w:rtl/>
        </w:rPr>
        <w:lastRenderedPageBreak/>
        <w:t>בנסיבות מחמירות, עבירה מסוג פשע שהעונש המרבי הקבוע בגינה הוא חמש שנות מאסר והעונש המזערי – שלושה חודשים.</w:t>
      </w:r>
    </w:p>
    <w:p w:rsidR="00802774" w:rsidRDefault="00802774" w:rsidP="00487840">
      <w:pPr>
        <w:numPr>
          <w:ilvl w:val="0"/>
          <w:numId w:val="4"/>
        </w:numPr>
        <w:spacing w:after="120" w:line="360" w:lineRule="auto"/>
        <w:ind w:left="360"/>
        <w:jc w:val="both"/>
        <w:rPr>
          <w:rFonts w:ascii="Tahoma" w:hAnsi="Tahoma"/>
        </w:rPr>
      </w:pPr>
      <w:r>
        <w:rPr>
          <w:rFonts w:ascii="Tahoma" w:hAnsi="Tahoma"/>
          <w:rtl/>
        </w:rPr>
        <w:t>אשר למדיניות הענישה הנהוגה ציינה ב"כ המאשימה, בהגינותה, כי מנעד הענישה הנ</w:t>
      </w:r>
      <w:r w:rsidR="00487840">
        <w:rPr>
          <w:rFonts w:ascii="Tahoma" w:hAnsi="Tahoma" w:hint="cs"/>
          <w:rtl/>
        </w:rPr>
        <w:t xml:space="preserve">הוגה בעבירה דנא </w:t>
      </w:r>
      <w:r>
        <w:rPr>
          <w:rFonts w:ascii="Tahoma" w:hAnsi="Tahoma"/>
          <w:rtl/>
        </w:rPr>
        <w:t>הוא רחב, תוך שהפנתה לפסיקה מחמירה. בין השאר הפנתה לגזר דין מהזמן האחרון בת"פ (שלום ב"ש) 30713-01-23 </w:t>
      </w:r>
      <w:r>
        <w:rPr>
          <w:rFonts w:ascii="Tahoma" w:hAnsi="Tahoma"/>
          <w:b/>
          <w:bCs/>
          <w:rtl/>
        </w:rPr>
        <w:t>מדינת ישראל נ' בראנץ</w:t>
      </w:r>
      <w:r>
        <w:rPr>
          <w:rFonts w:ascii="Tahoma" w:hAnsi="Tahoma"/>
          <w:rtl/>
        </w:rPr>
        <w:t xml:space="preserve"> (18.04.2023). באותו מקרה דובר בהסדר טיעון דיוני, ובהכרעת דין שניתנה על יסוד הודאת הנאשם, כאשר בית המשפט סקר </w:t>
      </w:r>
      <w:r w:rsidR="00487840">
        <w:rPr>
          <w:rFonts w:ascii="Tahoma" w:hAnsi="Tahoma" w:hint="cs"/>
          <w:rtl/>
        </w:rPr>
        <w:t xml:space="preserve">בגזר דינו </w:t>
      </w:r>
      <w:r>
        <w:rPr>
          <w:rFonts w:ascii="Tahoma" w:hAnsi="Tahoma"/>
          <w:rtl/>
        </w:rPr>
        <w:t xml:space="preserve">אסמכתאות רבות. דובר </w:t>
      </w:r>
      <w:r w:rsidR="00487840">
        <w:rPr>
          <w:rFonts w:ascii="Tahoma" w:hAnsi="Tahoma" w:hint="cs"/>
          <w:rtl/>
        </w:rPr>
        <w:t xml:space="preserve">שם </w:t>
      </w:r>
      <w:r>
        <w:rPr>
          <w:rFonts w:ascii="Tahoma" w:hAnsi="Tahoma"/>
          <w:rtl/>
        </w:rPr>
        <w:t>באירוע מתגלגל, שהחל בהעלבת השוטר ולאחר מכן בתקיפתו באמצעות הכאתו בפניו ונשיכת ידו. נקבע  מתחם עונש הולם שבין 10 חודשי מאסר בפועל לבין 24 חודשי מאסר בפועל ונגזר על הנאשם, שכאמור הודה ונטל אחריות, עונש שכלל 15 חודשי מאסר בפועל.</w:t>
      </w:r>
    </w:p>
    <w:p w:rsidR="00DD653B" w:rsidRDefault="00802774" w:rsidP="00DD653B">
      <w:pPr>
        <w:numPr>
          <w:ilvl w:val="0"/>
          <w:numId w:val="4"/>
        </w:numPr>
        <w:spacing w:after="120" w:line="360" w:lineRule="auto"/>
        <w:ind w:left="360"/>
        <w:jc w:val="both"/>
        <w:rPr>
          <w:rFonts w:ascii="Tahoma" w:hAnsi="Tahoma"/>
        </w:rPr>
      </w:pPr>
      <w:r>
        <w:rPr>
          <w:rFonts w:ascii="Tahoma" w:hAnsi="Tahoma"/>
          <w:rtl/>
        </w:rPr>
        <w:t>עוד הפנתה ב"כ המאשימה לפסיקה רבה נוספת, בעיקרה במקרים חמ</w:t>
      </w:r>
      <w:r w:rsidR="00121F73">
        <w:rPr>
          <w:rFonts w:ascii="Tahoma" w:hAnsi="Tahoma"/>
          <w:rtl/>
        </w:rPr>
        <w:t>ורים מענייננו, לרבות במקרים שבה</w:t>
      </w:r>
      <w:r w:rsidR="00121F73">
        <w:rPr>
          <w:rFonts w:ascii="Tahoma" w:hAnsi="Tahoma" w:hint="cs"/>
          <w:rtl/>
        </w:rPr>
        <w:t>ם</w:t>
      </w:r>
      <w:r>
        <w:rPr>
          <w:rFonts w:ascii="Tahoma" w:hAnsi="Tahoma"/>
          <w:rtl/>
        </w:rPr>
        <w:t xml:space="preserve"> לעבירה לפי הוראות 274 לחוק העונשין הצטרפו </w:t>
      </w:r>
      <w:r w:rsidR="00487840">
        <w:rPr>
          <w:rFonts w:ascii="Tahoma" w:hAnsi="Tahoma" w:hint="cs"/>
          <w:rtl/>
        </w:rPr>
        <w:t xml:space="preserve">גם </w:t>
      </w:r>
      <w:r>
        <w:rPr>
          <w:rFonts w:ascii="Tahoma" w:hAnsi="Tahoma"/>
          <w:rtl/>
        </w:rPr>
        <w:t>עבירות נוספות. כך, למשל, רע"פ 2073/17 </w:t>
      </w:r>
      <w:r>
        <w:rPr>
          <w:rFonts w:ascii="Tahoma" w:hAnsi="Tahoma"/>
          <w:b/>
          <w:bCs/>
          <w:rtl/>
        </w:rPr>
        <w:t>אלסאנע נ' מדינת ישראל</w:t>
      </w:r>
      <w:r>
        <w:rPr>
          <w:rFonts w:ascii="Tahoma" w:hAnsi="Tahoma"/>
          <w:rtl/>
        </w:rPr>
        <w:t> (11.05.2017)</w:t>
      </w:r>
      <w:r w:rsidR="00121F73">
        <w:rPr>
          <w:rFonts w:ascii="Tahoma" w:hAnsi="Tahoma" w:hint="cs"/>
          <w:rtl/>
        </w:rPr>
        <w:t>,</w:t>
      </w:r>
      <w:r>
        <w:rPr>
          <w:rFonts w:ascii="Tahoma" w:hAnsi="Tahoma"/>
          <w:rtl/>
        </w:rPr>
        <w:t xml:space="preserve"> שם דובר, בין השאר, בפציעה חמורה של שוטר באמצעות זריקת אבן לראשו, וכך גם במקרה מושא ע"פ 8/16 </w:t>
      </w:r>
      <w:r>
        <w:rPr>
          <w:rFonts w:ascii="Tahoma" w:hAnsi="Tahoma"/>
          <w:b/>
          <w:bCs/>
          <w:rtl/>
        </w:rPr>
        <w:t>חרירי נ' מדינת ישראל</w:t>
      </w:r>
      <w:r>
        <w:rPr>
          <w:rFonts w:ascii="Tahoma" w:hAnsi="Tahoma"/>
          <w:rtl/>
        </w:rPr>
        <w:t> (16.08.2016). במקרה מושא עפ"ג (מחוזי י-ם) 30409-02-18 </w:t>
      </w:r>
      <w:r>
        <w:rPr>
          <w:rFonts w:ascii="Tahoma" w:hAnsi="Tahoma"/>
          <w:b/>
          <w:bCs/>
          <w:rtl/>
        </w:rPr>
        <w:t>אזולאי נ' מדינת ישראל</w:t>
      </w:r>
      <w:r>
        <w:rPr>
          <w:rFonts w:ascii="Tahoma" w:hAnsi="Tahoma"/>
          <w:rtl/>
        </w:rPr>
        <w:t xml:space="preserve"> (07.01.2019), </w:t>
      </w:r>
      <w:r w:rsidR="00487840">
        <w:rPr>
          <w:rFonts w:ascii="Tahoma" w:hAnsi="Tahoma" w:hint="cs"/>
          <w:rtl/>
        </w:rPr>
        <w:t xml:space="preserve">שגם אליו הפנתה ב"כ המאשימה, </w:t>
      </w:r>
      <w:r>
        <w:rPr>
          <w:rFonts w:ascii="Tahoma" w:hAnsi="Tahoma"/>
          <w:rtl/>
        </w:rPr>
        <w:t>נערך הסדר טיעון דיוני</w:t>
      </w:r>
      <w:r w:rsidR="00487840">
        <w:rPr>
          <w:rFonts w:ascii="Tahoma" w:hAnsi="Tahoma" w:hint="cs"/>
          <w:rtl/>
        </w:rPr>
        <w:t>.</w:t>
      </w:r>
      <w:r>
        <w:rPr>
          <w:rFonts w:ascii="Tahoma" w:hAnsi="Tahoma"/>
          <w:rtl/>
        </w:rPr>
        <w:t xml:space="preserve"> דובר</w:t>
      </w:r>
      <w:r w:rsidR="00487840">
        <w:rPr>
          <w:rFonts w:ascii="Tahoma" w:hAnsi="Tahoma" w:hint="cs"/>
          <w:rtl/>
        </w:rPr>
        <w:t xml:space="preserve"> שם</w:t>
      </w:r>
      <w:r>
        <w:rPr>
          <w:rFonts w:ascii="Tahoma" w:hAnsi="Tahoma"/>
          <w:rtl/>
        </w:rPr>
        <w:t xml:space="preserve"> בהתנגדות למעצר שהתגלגלה למאבק בין השוטר לבין ה</w:t>
      </w:r>
      <w:r w:rsidR="00487840">
        <w:rPr>
          <w:rFonts w:ascii="Tahoma" w:hAnsi="Tahoma" w:hint="cs"/>
          <w:rtl/>
        </w:rPr>
        <w:t>מערער</w:t>
      </w:r>
      <w:r w:rsidR="00487840">
        <w:rPr>
          <w:rFonts w:ascii="Tahoma" w:hAnsi="Tahoma"/>
          <w:rtl/>
        </w:rPr>
        <w:t>, שבעטי</w:t>
      </w:r>
      <w:r w:rsidR="00487840">
        <w:rPr>
          <w:rFonts w:ascii="Tahoma" w:hAnsi="Tahoma" w:hint="cs"/>
          <w:rtl/>
        </w:rPr>
        <w:t>ו</w:t>
      </w:r>
      <w:r>
        <w:rPr>
          <w:rFonts w:ascii="Tahoma" w:hAnsi="Tahoma"/>
          <w:rtl/>
        </w:rPr>
        <w:t xml:space="preserve"> נגרם לשוטר שבר בכף ידו. </w:t>
      </w:r>
      <w:r w:rsidR="00DD653B">
        <w:rPr>
          <w:rFonts w:ascii="Tahoma" w:hAnsi="Tahoma" w:hint="cs"/>
          <w:rtl/>
        </w:rPr>
        <w:t xml:space="preserve">בבית משפט השלום </w:t>
      </w:r>
      <w:r>
        <w:rPr>
          <w:rFonts w:ascii="Tahoma" w:hAnsi="Tahoma"/>
          <w:rtl/>
        </w:rPr>
        <w:t>נקבע מתחם עונש הולם שבין מאסר קצר, לנשיאה בדרך של עבודות שירות, לבין 15 חודשי מאסר בפועל</w:t>
      </w:r>
      <w:r w:rsidR="00DD653B">
        <w:rPr>
          <w:rFonts w:ascii="Tahoma" w:hAnsi="Tahoma" w:hint="cs"/>
          <w:rtl/>
        </w:rPr>
        <w:t>. על המערער נגזר עונש של חמישה חודשי מאסר בפועל, לנשיאה בדרך של עבודות שירות, ורכיבים נלווים, וערעורו לבית המשפט המחוזי נדחה.</w:t>
      </w:r>
    </w:p>
    <w:p w:rsidR="00802774" w:rsidRDefault="00802774" w:rsidP="00802774">
      <w:pPr>
        <w:numPr>
          <w:ilvl w:val="0"/>
          <w:numId w:val="4"/>
        </w:numPr>
        <w:spacing w:after="120" w:line="360" w:lineRule="auto"/>
        <w:ind w:left="360"/>
        <w:jc w:val="both"/>
        <w:rPr>
          <w:rFonts w:ascii="Tahoma" w:hAnsi="Tahoma"/>
        </w:rPr>
      </w:pPr>
      <w:r>
        <w:rPr>
          <w:rFonts w:ascii="Tahoma" w:hAnsi="Tahoma"/>
          <w:rtl/>
        </w:rPr>
        <w:t xml:space="preserve">על רקע כל אלה עתרה ב"כ המאשימה </w:t>
      </w:r>
      <w:r w:rsidR="00DD653B">
        <w:rPr>
          <w:rFonts w:ascii="Tahoma" w:hAnsi="Tahoma" w:hint="cs"/>
          <w:rtl/>
        </w:rPr>
        <w:t xml:space="preserve">בענייננו </w:t>
      </w:r>
      <w:r>
        <w:rPr>
          <w:rFonts w:ascii="Tahoma" w:hAnsi="Tahoma"/>
          <w:rtl/>
        </w:rPr>
        <w:t>לקביעת מתחם עונש הולם שבין 9 חודשי מאסר בפועל לבין 18 חודשי מאסר בפועל. אשר לגז</w:t>
      </w:r>
      <w:r w:rsidR="00DD653B">
        <w:rPr>
          <w:rFonts w:ascii="Tahoma" w:hAnsi="Tahoma"/>
          <w:rtl/>
        </w:rPr>
        <w:t>ירת העונש בתוך מתחם העונש ההולם</w:t>
      </w:r>
      <w:r>
        <w:rPr>
          <w:rFonts w:ascii="Tahoma" w:hAnsi="Tahoma"/>
          <w:rtl/>
        </w:rPr>
        <w:t xml:space="preserve"> הדגישה ב"כ המאשימה כי מדובר בנאשם שלא נטל אחריות על מעשיו ו</w:t>
      </w:r>
      <w:r w:rsidR="00DD653B">
        <w:rPr>
          <w:rFonts w:ascii="Tahoma" w:hAnsi="Tahoma" w:hint="cs"/>
          <w:rtl/>
        </w:rPr>
        <w:t xml:space="preserve">נוכח מכלול הנסיבות </w:t>
      </w:r>
      <w:r>
        <w:rPr>
          <w:rFonts w:ascii="Tahoma" w:hAnsi="Tahoma"/>
          <w:rtl/>
        </w:rPr>
        <w:t>עתרה למקמו ברף הע</w:t>
      </w:r>
      <w:r w:rsidR="00DD653B">
        <w:rPr>
          <w:rFonts w:ascii="Tahoma" w:hAnsi="Tahoma"/>
          <w:rtl/>
        </w:rPr>
        <w:t xml:space="preserve">ליון של מתחם העונש ההולם לו </w:t>
      </w:r>
      <w:r w:rsidR="00DD653B">
        <w:rPr>
          <w:rFonts w:ascii="Tahoma" w:hAnsi="Tahoma" w:hint="cs"/>
          <w:rtl/>
        </w:rPr>
        <w:t>טענה</w:t>
      </w:r>
      <w:r>
        <w:rPr>
          <w:rFonts w:ascii="Tahoma" w:hAnsi="Tahoma"/>
          <w:rtl/>
        </w:rPr>
        <w:t xml:space="preserve">, לצד </w:t>
      </w:r>
      <w:r w:rsidR="00DD653B">
        <w:rPr>
          <w:rFonts w:ascii="Tahoma" w:hAnsi="Tahoma" w:hint="cs"/>
          <w:rtl/>
        </w:rPr>
        <w:t xml:space="preserve">השתת </w:t>
      </w:r>
      <w:r w:rsidR="00121F73">
        <w:rPr>
          <w:rFonts w:ascii="Tahoma" w:hAnsi="Tahoma"/>
          <w:rtl/>
        </w:rPr>
        <w:t xml:space="preserve">ענישה נלווית </w:t>
      </w:r>
      <w:r w:rsidR="00121F73">
        <w:rPr>
          <w:rFonts w:ascii="Tahoma" w:hAnsi="Tahoma" w:hint="cs"/>
          <w:rtl/>
        </w:rPr>
        <w:t>בדמות</w:t>
      </w:r>
      <w:r>
        <w:rPr>
          <w:rFonts w:ascii="Tahoma" w:hAnsi="Tahoma"/>
          <w:rtl/>
        </w:rPr>
        <w:t xml:space="preserve"> מאסר על תנאי, פיצוי משמעותי למתלונן וקנס כספי.</w:t>
      </w:r>
    </w:p>
    <w:p w:rsidR="00802774" w:rsidRDefault="00802774" w:rsidP="007537C9">
      <w:pPr>
        <w:numPr>
          <w:ilvl w:val="0"/>
          <w:numId w:val="4"/>
        </w:numPr>
        <w:spacing w:after="120" w:line="360" w:lineRule="auto"/>
        <w:ind w:left="360"/>
        <w:jc w:val="both"/>
        <w:rPr>
          <w:rFonts w:ascii="Tahoma" w:hAnsi="Tahoma"/>
        </w:rPr>
      </w:pPr>
      <w:r>
        <w:rPr>
          <w:rFonts w:ascii="Tahoma" w:hAnsi="Tahoma"/>
          <w:rtl/>
        </w:rPr>
        <w:t>ב"כ הנאשם, מצידה, טענה כי הפסיקה אליה הפנתה ב"כ המאשימה אינה רלוואנטית לענייננו, והדגיש</w:t>
      </w:r>
      <w:r w:rsidR="00DD653B">
        <w:rPr>
          <w:rFonts w:ascii="Tahoma" w:hAnsi="Tahoma" w:hint="cs"/>
          <w:rtl/>
        </w:rPr>
        <w:t>ה</w:t>
      </w:r>
      <w:r>
        <w:rPr>
          <w:rFonts w:ascii="Tahoma" w:hAnsi="Tahoma"/>
          <w:rtl/>
        </w:rPr>
        <w:t xml:space="preserve"> כי כתב האישום הוגש בשיהוי רב, למעלה משנתיים לאחר קרות האירוע. עוד ביקשה ב"כ הנאשם למצוא נסיבות קולה בקביעות הכרעת הדין. בהקשר זה הפנתה הסניגורית לקביעה כי הנאשם ביקש להימלט מהמתלונן ולמלט את הטרקטורון, ובכך למצוא נסיבת קולה משום שברור </w:t>
      </w:r>
      <w:r w:rsidR="00DD653B">
        <w:rPr>
          <w:rFonts w:ascii="Tahoma" w:hAnsi="Tahoma" w:hint="cs"/>
          <w:rtl/>
        </w:rPr>
        <w:t xml:space="preserve">ממנה כי </w:t>
      </w:r>
      <w:r>
        <w:rPr>
          <w:rFonts w:ascii="Tahoma" w:hAnsi="Tahoma"/>
          <w:rtl/>
        </w:rPr>
        <w:t xml:space="preserve">הנאשם לא ביקש ולא רצה לתקוף את המתלונן-השוטר. עוד ביקשה הסניגורית למצוא נקודת קולה בקביעה כי המתלונן לא פנה אל הנאשם באופן המנומס ביותר, ואולי אף דיבר אליו בטון בוטה. </w:t>
      </w:r>
      <w:r w:rsidR="00DD653B">
        <w:rPr>
          <w:rFonts w:ascii="Tahoma" w:hAnsi="Tahoma" w:hint="cs"/>
          <w:rtl/>
        </w:rPr>
        <w:t xml:space="preserve">בהקשר זה הוסיפה </w:t>
      </w:r>
      <w:r>
        <w:rPr>
          <w:rFonts w:ascii="Tahoma" w:hAnsi="Tahoma"/>
          <w:rtl/>
        </w:rPr>
        <w:t>ב"כ הנאשם וטענה כי במקרים רבים מגע בין שוטר לבין אזרח מגיע לנקודת רתיחה כתולדה מהתנהלות משותפת, וכך היה גם במקרה זה.</w:t>
      </w:r>
    </w:p>
    <w:p w:rsidR="00802774" w:rsidRDefault="00802774" w:rsidP="007537C9">
      <w:pPr>
        <w:numPr>
          <w:ilvl w:val="0"/>
          <w:numId w:val="4"/>
        </w:numPr>
        <w:spacing w:after="120" w:line="360" w:lineRule="auto"/>
        <w:ind w:left="360"/>
        <w:jc w:val="both"/>
        <w:rPr>
          <w:rFonts w:ascii="Tahoma" w:hAnsi="Tahoma"/>
        </w:rPr>
      </w:pPr>
      <w:r>
        <w:rPr>
          <w:rFonts w:ascii="Tahoma" w:hAnsi="Tahoma"/>
          <w:rtl/>
        </w:rPr>
        <w:t xml:space="preserve">ב"כ הנאשם שבה על </w:t>
      </w:r>
      <w:r w:rsidR="007537C9">
        <w:rPr>
          <w:rFonts w:ascii="Tahoma" w:hAnsi="Tahoma" w:hint="cs"/>
          <w:rtl/>
        </w:rPr>
        <w:t xml:space="preserve">הטענות שהעלתה </w:t>
      </w:r>
      <w:r>
        <w:rPr>
          <w:rFonts w:ascii="Tahoma" w:hAnsi="Tahoma"/>
          <w:rtl/>
        </w:rPr>
        <w:t xml:space="preserve">עובר למתן הכרעת הדין, </w:t>
      </w:r>
      <w:r w:rsidR="007537C9">
        <w:rPr>
          <w:rFonts w:ascii="Tahoma" w:hAnsi="Tahoma" w:hint="cs"/>
          <w:rtl/>
        </w:rPr>
        <w:t xml:space="preserve">במסגרת טענה להגנה מן הצדק, </w:t>
      </w:r>
      <w:r>
        <w:rPr>
          <w:rFonts w:ascii="Tahoma" w:hAnsi="Tahoma"/>
          <w:rtl/>
        </w:rPr>
        <w:t xml:space="preserve">לרבות לעניין חקירת התיק בתחנת לב תל אביב בה משרת המתלונן. ב"כ הנאשם הפנתה </w:t>
      </w:r>
      <w:r>
        <w:rPr>
          <w:rFonts w:ascii="Tahoma" w:hAnsi="Tahoma"/>
          <w:rtl/>
        </w:rPr>
        <w:lastRenderedPageBreak/>
        <w:t xml:space="preserve">בהקשר זה לקביעת בית המשפט כי מוטב שחקירה לא תתנהל באופן </w:t>
      </w:r>
      <w:r w:rsidR="007537C9">
        <w:rPr>
          <w:rFonts w:ascii="Tahoma" w:hAnsi="Tahoma" w:hint="cs"/>
          <w:rtl/>
        </w:rPr>
        <w:t>ש</w:t>
      </w:r>
      <w:r>
        <w:rPr>
          <w:rFonts w:ascii="Tahoma" w:hAnsi="Tahoma"/>
          <w:rtl/>
        </w:rPr>
        <w:t xml:space="preserve">כזה, וביקשה לגזור מכך הקלה בעונשו של הנאשם. עוד מתחה הסניגורית ביקורת על דרך התנהלותו של המתלונן באירוע ועל האופן </w:t>
      </w:r>
      <w:r w:rsidR="007537C9">
        <w:rPr>
          <w:rFonts w:ascii="Tahoma" w:hAnsi="Tahoma" w:hint="cs"/>
          <w:rtl/>
        </w:rPr>
        <w:t>ש</w:t>
      </w:r>
      <w:r>
        <w:rPr>
          <w:rFonts w:ascii="Tahoma" w:hAnsi="Tahoma"/>
          <w:rtl/>
        </w:rPr>
        <w:t xml:space="preserve">בו </w:t>
      </w:r>
      <w:r w:rsidR="007537C9">
        <w:rPr>
          <w:rFonts w:ascii="Tahoma" w:hAnsi="Tahoma" w:hint="cs"/>
          <w:rtl/>
        </w:rPr>
        <w:t xml:space="preserve">הוא </w:t>
      </w:r>
      <w:r>
        <w:rPr>
          <w:rFonts w:ascii="Tahoma" w:hAnsi="Tahoma"/>
          <w:rtl/>
        </w:rPr>
        <w:t xml:space="preserve">הזעיק עזרה למקום. </w:t>
      </w:r>
    </w:p>
    <w:p w:rsidR="00802774" w:rsidRDefault="00802774" w:rsidP="007537C9">
      <w:pPr>
        <w:numPr>
          <w:ilvl w:val="0"/>
          <w:numId w:val="4"/>
        </w:numPr>
        <w:spacing w:after="120" w:line="360" w:lineRule="auto"/>
        <w:ind w:left="360"/>
        <w:jc w:val="both"/>
        <w:rPr>
          <w:rFonts w:ascii="Tahoma" w:hAnsi="Tahoma"/>
        </w:rPr>
      </w:pPr>
      <w:r>
        <w:rPr>
          <w:rFonts w:ascii="Tahoma" w:hAnsi="Tahoma"/>
          <w:rtl/>
        </w:rPr>
        <w:t xml:space="preserve">אשר לאירוע עצמו הדגישה הסניגורית כי מדובר בריסוס בגז </w:t>
      </w:r>
      <w:r w:rsidR="007537C9">
        <w:rPr>
          <w:rFonts w:ascii="Tahoma" w:hAnsi="Tahoma" w:hint="cs"/>
          <w:rtl/>
        </w:rPr>
        <w:t xml:space="preserve">פלפל </w:t>
      </w:r>
      <w:r>
        <w:rPr>
          <w:rFonts w:ascii="Tahoma" w:hAnsi="Tahoma"/>
          <w:rtl/>
        </w:rPr>
        <w:t>בלבד, כאשר מדובר באמצעי בו שוטרים משתמשים חדשות לבקרים כנגד אזרחים, ולא ניתן לטעון ל</w:t>
      </w:r>
      <w:r w:rsidR="007537C9">
        <w:rPr>
          <w:rFonts w:ascii="Tahoma" w:hAnsi="Tahoma" w:hint="cs"/>
          <w:rtl/>
        </w:rPr>
        <w:t xml:space="preserve">גרימת </w:t>
      </w:r>
      <w:r>
        <w:rPr>
          <w:rFonts w:ascii="Tahoma" w:hAnsi="Tahoma"/>
          <w:rtl/>
        </w:rPr>
        <w:t>נזקים בלתי הפיכים. יתר על כן, אם זה הוא המצב, יש להחמיר גם בסנקציות המוטלות על שוטרים העושים שימוש בגז מדמיע כנגד אזרחים, שכן דמם של שוטרים אינו סמוק מדמם של אזרחים. מכל מקום, כך לטענת ב"כ הנאשם, עסקינן באירוע ש</w:t>
      </w:r>
      <w:r w:rsidR="007537C9">
        <w:rPr>
          <w:rFonts w:ascii="Tahoma" w:hAnsi="Tahoma" w:hint="cs"/>
          <w:rtl/>
        </w:rPr>
        <w:t xml:space="preserve">לא היה </w:t>
      </w:r>
      <w:r>
        <w:rPr>
          <w:rFonts w:ascii="Tahoma" w:hAnsi="Tahoma"/>
          <w:rtl/>
        </w:rPr>
        <w:t>מתוכנן אלא "</w:t>
      </w:r>
      <w:r>
        <w:rPr>
          <w:rFonts w:ascii="Tahoma" w:hAnsi="Tahoma"/>
          <w:b/>
          <w:bCs/>
          <w:rtl/>
        </w:rPr>
        <w:t>מהיר, מתגלגל, קצר</w:t>
      </w:r>
      <w:r>
        <w:rPr>
          <w:rFonts w:ascii="Tahoma" w:hAnsi="Tahoma"/>
          <w:rtl/>
        </w:rPr>
        <w:t xml:space="preserve">", אשר לא החל בבריונות או בזלזול </w:t>
      </w:r>
      <w:r w:rsidR="007537C9">
        <w:rPr>
          <w:rFonts w:ascii="Tahoma" w:hAnsi="Tahoma" w:hint="cs"/>
          <w:rtl/>
        </w:rPr>
        <w:t xml:space="preserve">מצד הנאשם </w:t>
      </w:r>
      <w:r>
        <w:rPr>
          <w:rFonts w:ascii="Tahoma" w:hAnsi="Tahoma"/>
          <w:rtl/>
        </w:rPr>
        <w:t>(בפרוטוקול, עמ' 152, שורה 10).</w:t>
      </w:r>
    </w:p>
    <w:p w:rsidR="00802774" w:rsidRDefault="007537C9" w:rsidP="007537C9">
      <w:pPr>
        <w:numPr>
          <w:ilvl w:val="0"/>
          <w:numId w:val="4"/>
        </w:numPr>
        <w:spacing w:after="120" w:line="360" w:lineRule="auto"/>
        <w:ind w:left="360"/>
        <w:jc w:val="both"/>
        <w:rPr>
          <w:rFonts w:ascii="Tahoma" w:hAnsi="Tahoma"/>
        </w:rPr>
      </w:pPr>
      <w:r>
        <w:rPr>
          <w:rFonts w:ascii="Tahoma" w:hAnsi="Tahoma"/>
          <w:rtl/>
        </w:rPr>
        <w:t>בנסיבות אל</w:t>
      </w:r>
      <w:r>
        <w:rPr>
          <w:rFonts w:ascii="Tahoma" w:hAnsi="Tahoma" w:hint="cs"/>
          <w:rtl/>
        </w:rPr>
        <w:t>ה</w:t>
      </w:r>
      <w:r w:rsidR="00802774">
        <w:rPr>
          <w:rFonts w:ascii="Tahoma" w:hAnsi="Tahoma"/>
          <w:rtl/>
        </w:rPr>
        <w:t xml:space="preserve"> טענה ב"כ הנאשם כי מתחם העונש ההולם צריך להתחיל במאסר מותנה בלבד, תוך הפניה לפסיקה. ב"כ הנאשם הדגישה את חלוף הזמן מאז ביצוע העבירות, </w:t>
      </w:r>
      <w:r>
        <w:rPr>
          <w:rFonts w:ascii="Tahoma" w:hAnsi="Tahoma" w:hint="cs"/>
          <w:rtl/>
        </w:rPr>
        <w:t>למעלה מ</w:t>
      </w:r>
      <w:r w:rsidR="00802774">
        <w:rPr>
          <w:rFonts w:ascii="Tahoma" w:hAnsi="Tahoma"/>
          <w:rtl/>
        </w:rPr>
        <w:t>חמש שנים, ונ</w:t>
      </w:r>
      <w:r>
        <w:rPr>
          <w:rFonts w:ascii="Tahoma" w:hAnsi="Tahoma" w:hint="cs"/>
          <w:rtl/>
        </w:rPr>
        <w:t>ו</w:t>
      </w:r>
      <w:r w:rsidR="00802774">
        <w:rPr>
          <w:rFonts w:ascii="Tahoma" w:hAnsi="Tahoma"/>
          <w:rtl/>
        </w:rPr>
        <w:t>כח הנסיבות שמנתה, כמו גם נסיבותיו האישיות של הנאשם, עתרה להסתפקות במאסר מותנה. לעניין נסיבותיו האישיות של הנאשם התייחסה הסניגורית לכך שמדובר בגבר צעיר, יליד השטחים, שהגיע בילדותו לארץ על רקע שיתוף פעולה של אביו עם כוחות הביטחון. הנאשם גדל ב</w:t>
      </w:r>
      <w:r>
        <w:rPr>
          <w:rFonts w:ascii="Tahoma" w:hAnsi="Tahoma" w:hint="cs"/>
          <w:rtl/>
        </w:rPr>
        <w:t xml:space="preserve">תנאי </w:t>
      </w:r>
      <w:r>
        <w:rPr>
          <w:rFonts w:ascii="Tahoma" w:hAnsi="Tahoma"/>
          <w:rtl/>
        </w:rPr>
        <w:t>עוני קש</w:t>
      </w:r>
      <w:r>
        <w:rPr>
          <w:rFonts w:ascii="Tahoma" w:hAnsi="Tahoma" w:hint="cs"/>
          <w:rtl/>
        </w:rPr>
        <w:t>ים</w:t>
      </w:r>
      <w:r w:rsidR="00802774">
        <w:rPr>
          <w:rFonts w:ascii="Tahoma" w:hAnsi="Tahoma"/>
          <w:rtl/>
        </w:rPr>
        <w:t xml:space="preserve">, </w:t>
      </w:r>
      <w:r>
        <w:rPr>
          <w:rFonts w:ascii="Tahoma" w:hAnsi="Tahoma" w:hint="cs"/>
          <w:rtl/>
        </w:rPr>
        <w:t xml:space="preserve">ומאז </w:t>
      </w:r>
      <w:r>
        <w:rPr>
          <w:rFonts w:ascii="Tahoma" w:hAnsi="Tahoma"/>
          <w:rtl/>
        </w:rPr>
        <w:t xml:space="preserve">עבר נישואין וגירושין, </w:t>
      </w:r>
      <w:r>
        <w:rPr>
          <w:rFonts w:ascii="Tahoma" w:hAnsi="Tahoma" w:hint="cs"/>
          <w:rtl/>
        </w:rPr>
        <w:t xml:space="preserve">כאשר </w:t>
      </w:r>
      <w:r w:rsidR="00802774">
        <w:rPr>
          <w:rFonts w:ascii="Tahoma" w:hAnsi="Tahoma"/>
          <w:rtl/>
        </w:rPr>
        <w:t xml:space="preserve">כיום הוא </w:t>
      </w:r>
      <w:r>
        <w:rPr>
          <w:rFonts w:ascii="Tahoma" w:hAnsi="Tahoma" w:hint="cs"/>
          <w:rtl/>
        </w:rPr>
        <w:t xml:space="preserve">מצוי </w:t>
      </w:r>
      <w:r w:rsidR="00802774">
        <w:rPr>
          <w:rFonts w:ascii="Tahoma" w:hAnsi="Tahoma"/>
          <w:rtl/>
        </w:rPr>
        <w:t>בזוגיות שנייה. הסניגורית ערה לעברו הפלילי המכביד של הנאשם, אך ביקשה להצביע על התמתנות ממשית בהתנהלותו בשנים האחרונות, כאשר כיום עובד הנאשם לפרנסתו ולפרנס זוגתו ושלושת ילדיו</w:t>
      </w:r>
      <w:r>
        <w:rPr>
          <w:rFonts w:ascii="Tahoma" w:hAnsi="Tahoma" w:hint="cs"/>
          <w:rtl/>
        </w:rPr>
        <w:t xml:space="preserve"> (שניים מנישואיו הקודמים)</w:t>
      </w:r>
      <w:r w:rsidR="00802774">
        <w:rPr>
          <w:rFonts w:ascii="Tahoma" w:hAnsi="Tahoma"/>
          <w:rtl/>
        </w:rPr>
        <w:t>.</w:t>
      </w:r>
    </w:p>
    <w:p w:rsidR="00802774" w:rsidRDefault="00802774" w:rsidP="00802774">
      <w:pPr>
        <w:numPr>
          <w:ilvl w:val="0"/>
          <w:numId w:val="4"/>
        </w:numPr>
        <w:spacing w:after="120" w:line="360" w:lineRule="auto"/>
        <w:ind w:left="360"/>
        <w:jc w:val="both"/>
        <w:rPr>
          <w:rFonts w:ascii="Tahoma" w:hAnsi="Tahoma"/>
        </w:rPr>
      </w:pPr>
      <w:r>
        <w:rPr>
          <w:rFonts w:ascii="Tahoma" w:hAnsi="Tahoma"/>
          <w:rtl/>
        </w:rPr>
        <w:t>עוד טענה הסניגורית כי הנאשם הפיק את לקחיו מהאירוע, הביע צער ואף בושה בגין מעשיו, ואף הציע למתלונן לרסס אותו בחזרה. ב</w:t>
      </w:r>
      <w:r w:rsidR="007537C9">
        <w:rPr>
          <w:rFonts w:ascii="Tahoma" w:hAnsi="Tahoma" w:hint="cs"/>
          <w:rtl/>
        </w:rPr>
        <w:t xml:space="preserve">מכלול </w:t>
      </w:r>
      <w:r>
        <w:rPr>
          <w:rFonts w:ascii="Tahoma" w:hAnsi="Tahoma"/>
          <w:rtl/>
        </w:rPr>
        <w:t>נסיבות אלה עתרה ב"כ הנאשם להקל עם מרשה ולהשית עליו עונש ברף התחתון של מתחם העונש ההולם לו טענה, דהיינו עונש של מאסר מותנה בלבד.</w:t>
      </w:r>
    </w:p>
    <w:p w:rsidR="00802774" w:rsidRDefault="00802774" w:rsidP="00802774">
      <w:pPr>
        <w:numPr>
          <w:ilvl w:val="0"/>
          <w:numId w:val="4"/>
        </w:numPr>
        <w:spacing w:after="120" w:line="360" w:lineRule="auto"/>
        <w:ind w:left="360"/>
        <w:jc w:val="both"/>
        <w:rPr>
          <w:rFonts w:ascii="Tahoma" w:hAnsi="Tahoma"/>
        </w:rPr>
      </w:pPr>
      <w:r>
        <w:rPr>
          <w:rFonts w:ascii="Tahoma" w:hAnsi="Tahoma"/>
          <w:rtl/>
        </w:rPr>
        <w:t>לבסוף הנאשם, בדברו האחרון לעונש, הביע צער על מעשיו הגם שבד בבד חזר על הכחשתו – שנדחתה בהכרעת הדין – כי תקף שוטר ביודעין. וכדבריו: "</w:t>
      </w:r>
      <w:r>
        <w:rPr>
          <w:rFonts w:ascii="Tahoma" w:hAnsi="Tahoma"/>
          <w:b/>
          <w:bCs/>
          <w:rtl/>
        </w:rPr>
        <w:t>קודם כל אני מצטער מאוד על האירוע עצמו. אני באמת לא ידעתי שהוא שוטר. אני מקבל כל החלטה שבית המשפט ייתן. התחלתי חיים חדשים וניסיתי לברוח מכל עולם הפשע... עברתי שינוי עם עצמי גדול מאוד. אני משתדל לצאת מהעולם הזה ולא רוצה אותו. מצטער על זה</w:t>
      </w:r>
      <w:r>
        <w:rPr>
          <w:rFonts w:ascii="Tahoma" w:hAnsi="Tahoma"/>
          <w:rtl/>
        </w:rPr>
        <w:t>" (בפרוטוקול, עמ' 154 שורה 14 ואילך).</w:t>
      </w:r>
    </w:p>
    <w:p w:rsidR="000D22AA" w:rsidRDefault="000D22AA" w:rsidP="000D22AA">
      <w:pPr>
        <w:spacing w:after="120" w:line="360" w:lineRule="auto"/>
        <w:jc w:val="both"/>
        <w:rPr>
          <w:rFonts w:ascii="Tahoma" w:hAnsi="Tahoma"/>
        </w:rPr>
      </w:pPr>
    </w:p>
    <w:p w:rsidR="000D22AA" w:rsidRPr="000D22AA" w:rsidRDefault="000D22AA" w:rsidP="000D22AA">
      <w:pPr>
        <w:pStyle w:val="aa"/>
        <w:numPr>
          <w:ilvl w:val="0"/>
          <w:numId w:val="3"/>
        </w:numPr>
        <w:spacing w:after="120" w:line="360" w:lineRule="auto"/>
        <w:ind w:left="360"/>
        <w:jc w:val="both"/>
        <w:rPr>
          <w:rFonts w:ascii="Tahoma" w:hAnsi="Tahoma"/>
          <w:b/>
          <w:bCs/>
          <w:u w:val="single"/>
          <w:rtl/>
        </w:rPr>
      </w:pPr>
      <w:r>
        <w:rPr>
          <w:rFonts w:ascii="Tahoma" w:hAnsi="Tahoma" w:hint="cs"/>
          <w:b/>
          <w:bCs/>
          <w:u w:val="single"/>
          <w:rtl/>
        </w:rPr>
        <w:t>קביעת מתחם העונש ההולם</w:t>
      </w:r>
      <w:r w:rsidRPr="000D22AA">
        <w:rPr>
          <w:rFonts w:ascii="Tahoma" w:hAnsi="Tahoma"/>
          <w:b/>
          <w:bCs/>
          <w:u w:val="single"/>
          <w:rtl/>
        </w:rPr>
        <w:t>:</w:t>
      </w:r>
    </w:p>
    <w:p w:rsidR="000D22AA" w:rsidRPr="000D22AA" w:rsidRDefault="000D22AA" w:rsidP="000D22AA">
      <w:pPr>
        <w:numPr>
          <w:ilvl w:val="0"/>
          <w:numId w:val="4"/>
        </w:numPr>
        <w:spacing w:after="120" w:line="360" w:lineRule="auto"/>
        <w:ind w:left="360"/>
        <w:jc w:val="both"/>
        <w:rPr>
          <w:rFonts w:ascii="Tahoma" w:hAnsi="Tahoma"/>
        </w:rPr>
      </w:pPr>
      <w:r>
        <w:rPr>
          <w:rFonts w:hint="cs"/>
          <w:rtl/>
        </w:rPr>
        <w:t xml:space="preserve">בעת גזירת עונשו של נאשם על בית המשפט לקבוע, תחילה, את מתחם העונש ההולם לאירוע שבגינו הורשע הנאשם, וזאת בהתאם </w:t>
      </w:r>
      <w:r w:rsidRPr="000D22AA">
        <w:rPr>
          <w:rFonts w:ascii="Tahoma" w:hAnsi="Tahoma" w:hint="cs"/>
          <w:rtl/>
        </w:rPr>
        <w:t xml:space="preserve">לעיקרון ההלימה. בהקשר זה יתחשב בית המשפט, בין השאר, </w:t>
      </w:r>
      <w:r>
        <w:rPr>
          <w:rFonts w:hint="cs"/>
          <w:rtl/>
        </w:rPr>
        <w:t xml:space="preserve">בערכים החברתיים שנפגעו מביצוע העבירות ובמידת הפגיעה בהם, במדיניות הענישה </w:t>
      </w:r>
      <w:r>
        <w:rPr>
          <w:rFonts w:hint="cs"/>
          <w:rtl/>
        </w:rPr>
        <w:lastRenderedPageBreak/>
        <w:t>הנהוגה ובנסיבות הקשורות בביצוע העבירות</w:t>
      </w:r>
      <w:r w:rsidR="00D03A22">
        <w:rPr>
          <w:rFonts w:hint="cs"/>
          <w:rtl/>
        </w:rPr>
        <w:t xml:space="preserve"> (לרבות אלה המנויות בהוראות סעיף 40ט לחוק העונשין)</w:t>
      </w:r>
      <w:r>
        <w:rPr>
          <w:rFonts w:hint="cs"/>
          <w:rtl/>
        </w:rPr>
        <w:t>.</w:t>
      </w:r>
    </w:p>
    <w:p w:rsidR="00267E41" w:rsidRDefault="000D22AA" w:rsidP="00BA0E6D">
      <w:pPr>
        <w:numPr>
          <w:ilvl w:val="0"/>
          <w:numId w:val="4"/>
        </w:numPr>
        <w:spacing w:after="120" w:line="360" w:lineRule="auto"/>
        <w:ind w:left="360"/>
        <w:jc w:val="both"/>
        <w:rPr>
          <w:rFonts w:ascii="Tahoma" w:hAnsi="Tahoma"/>
        </w:rPr>
      </w:pPr>
      <w:r>
        <w:rPr>
          <w:rFonts w:hint="cs"/>
          <w:rtl/>
        </w:rPr>
        <w:t>הפסיקה חוזרת ומטעימה את החומרה הרבה בעבירות של תקיפת שוטר</w:t>
      </w:r>
      <w:r w:rsidR="00BA0E6D">
        <w:rPr>
          <w:rFonts w:hint="cs"/>
          <w:rtl/>
        </w:rPr>
        <w:t>ים</w:t>
      </w:r>
      <w:r>
        <w:rPr>
          <w:rFonts w:hint="cs"/>
          <w:rtl/>
        </w:rPr>
        <w:t>, קל וחומר כאשר מדובר בתקיפה בנסיבות</w:t>
      </w:r>
      <w:r>
        <w:rPr>
          <w:rFonts w:ascii="Tahoma" w:hAnsi="Tahoma" w:hint="cs"/>
          <w:rtl/>
        </w:rPr>
        <w:t xml:space="preserve"> מחמירות. </w:t>
      </w:r>
      <w:r w:rsidR="00BA0E6D">
        <w:rPr>
          <w:rFonts w:ascii="Tahoma" w:hAnsi="Tahoma" w:hint="cs"/>
          <w:rtl/>
        </w:rPr>
        <w:t xml:space="preserve">כידוע, </w:t>
      </w:r>
      <w:r w:rsidR="0004351B">
        <w:rPr>
          <w:rFonts w:ascii="Tahoma" w:hAnsi="Tahoma" w:hint="cs"/>
          <w:rtl/>
        </w:rPr>
        <w:t xml:space="preserve">כל </w:t>
      </w:r>
      <w:r>
        <w:rPr>
          <w:rFonts w:ascii="Tahoma" w:hAnsi="Tahoma" w:hint="cs"/>
          <w:rtl/>
        </w:rPr>
        <w:t>תקיפ</w:t>
      </w:r>
      <w:r w:rsidR="0004351B">
        <w:rPr>
          <w:rFonts w:ascii="Tahoma" w:hAnsi="Tahoma" w:hint="cs"/>
          <w:rtl/>
        </w:rPr>
        <w:t xml:space="preserve">ה היא עבירה חמורה משום שהיא פוגעת במידה משמעותית בערכים החברתיים של ההגנה על שלמות גופו של האדם, ההגנה </w:t>
      </w:r>
      <w:r w:rsidR="00FB14AE">
        <w:rPr>
          <w:rFonts w:ascii="Tahoma" w:hAnsi="Tahoma" w:hint="cs"/>
          <w:rtl/>
        </w:rPr>
        <w:t xml:space="preserve">על </w:t>
      </w:r>
      <w:r w:rsidR="0004351B">
        <w:rPr>
          <w:rFonts w:ascii="Tahoma" w:hAnsi="Tahoma" w:hint="cs"/>
          <w:rtl/>
        </w:rPr>
        <w:t>שלוות נפשו של האדם והה</w:t>
      </w:r>
      <w:r w:rsidR="00267E41">
        <w:rPr>
          <w:rFonts w:ascii="Tahoma" w:hAnsi="Tahoma" w:hint="cs"/>
          <w:rtl/>
        </w:rPr>
        <w:t xml:space="preserve">גנה על הסדר והביטחון הציבוריים. ואולם, כאשר מדובר בתקיפת שוטר, התקיפה היא לא רק נגד גופו של השוטר אלא גם </w:t>
      </w:r>
      <w:r w:rsidR="00267E41">
        <w:rPr>
          <w:rFonts w:ascii="Tahoma" w:hAnsi="Tahoma"/>
          <w:rtl/>
        </w:rPr>
        <w:t>–</w:t>
      </w:r>
      <w:r w:rsidR="00267E41">
        <w:rPr>
          <w:rFonts w:ascii="Tahoma" w:hAnsi="Tahoma" w:hint="cs"/>
          <w:rtl/>
        </w:rPr>
        <w:t xml:space="preserve"> ואולי אף בעיקר </w:t>
      </w:r>
      <w:r w:rsidR="00267E41">
        <w:rPr>
          <w:rFonts w:ascii="Tahoma" w:hAnsi="Tahoma"/>
          <w:rtl/>
        </w:rPr>
        <w:t>–</w:t>
      </w:r>
      <w:r w:rsidR="00267E41">
        <w:rPr>
          <w:rFonts w:ascii="Tahoma" w:hAnsi="Tahoma" w:hint="cs"/>
          <w:rtl/>
        </w:rPr>
        <w:t xml:space="preserve"> נגד שלטון החוק וסדרי השלטון והמשפט. פשיטא, כי השוטרים </w:t>
      </w:r>
      <w:r w:rsidR="00267E41">
        <w:rPr>
          <w:rFonts w:ascii="Tahoma" w:hAnsi="Tahoma"/>
          <w:rtl/>
        </w:rPr>
        <w:t>–</w:t>
      </w:r>
      <w:r w:rsidR="00267E41">
        <w:rPr>
          <w:rFonts w:ascii="Tahoma" w:hAnsi="Tahoma" w:hint="cs"/>
          <w:rtl/>
        </w:rPr>
        <w:t xml:space="preserve"> המגלמים בביצוע תפקידם כדין את שלטון החוק </w:t>
      </w:r>
      <w:r w:rsidR="00267E41">
        <w:rPr>
          <w:rFonts w:ascii="Tahoma" w:hAnsi="Tahoma"/>
          <w:rtl/>
        </w:rPr>
        <w:t>–</w:t>
      </w:r>
      <w:r w:rsidR="00BA0E6D">
        <w:rPr>
          <w:rFonts w:ascii="Tahoma" w:hAnsi="Tahoma" w:hint="cs"/>
          <w:rtl/>
        </w:rPr>
        <w:t xml:space="preserve"> זכאים להגנה מוגברת על גופם</w:t>
      </w:r>
      <w:r w:rsidR="00FB14AE">
        <w:rPr>
          <w:rFonts w:ascii="Tahoma" w:hAnsi="Tahoma" w:hint="cs"/>
          <w:rtl/>
        </w:rPr>
        <w:t xml:space="preserve"> דווקא משום היותם חשופים חדשות ל</w:t>
      </w:r>
      <w:r w:rsidR="00267E41">
        <w:rPr>
          <w:rFonts w:ascii="Tahoma" w:hAnsi="Tahoma" w:hint="cs"/>
          <w:rtl/>
        </w:rPr>
        <w:t xml:space="preserve">בקרים למצבי סיכון, </w:t>
      </w:r>
      <w:r w:rsidR="00BA0E6D">
        <w:rPr>
          <w:rFonts w:ascii="Tahoma" w:hAnsi="Tahoma" w:hint="cs"/>
          <w:rtl/>
        </w:rPr>
        <w:t xml:space="preserve">על מנת לאפשר להם לבצע את </w:t>
      </w:r>
      <w:r w:rsidR="00267E41">
        <w:rPr>
          <w:rFonts w:ascii="Tahoma" w:hAnsi="Tahoma" w:hint="cs"/>
          <w:rtl/>
        </w:rPr>
        <w:t xml:space="preserve">תפקידם ללא </w:t>
      </w:r>
      <w:r w:rsidR="00BA0E6D">
        <w:rPr>
          <w:rFonts w:ascii="Tahoma" w:hAnsi="Tahoma" w:hint="cs"/>
          <w:rtl/>
        </w:rPr>
        <w:t xml:space="preserve">כל </w:t>
      </w:r>
      <w:r w:rsidR="00267E41">
        <w:rPr>
          <w:rFonts w:ascii="Tahoma" w:hAnsi="Tahoma" w:hint="cs"/>
          <w:rtl/>
        </w:rPr>
        <w:t xml:space="preserve">מורא </w:t>
      </w:r>
      <w:r w:rsidR="00BA0E6D">
        <w:rPr>
          <w:rFonts w:ascii="Tahoma" w:hAnsi="Tahoma" w:hint="cs"/>
          <w:rtl/>
        </w:rPr>
        <w:t>א</w:t>
      </w:r>
      <w:r w:rsidR="00267E41">
        <w:rPr>
          <w:rFonts w:ascii="Tahoma" w:hAnsi="Tahoma" w:hint="cs"/>
          <w:rtl/>
        </w:rPr>
        <w:t>ו</w:t>
      </w:r>
      <w:r w:rsidR="00BA0E6D">
        <w:rPr>
          <w:rFonts w:ascii="Tahoma" w:hAnsi="Tahoma" w:hint="cs"/>
          <w:rtl/>
        </w:rPr>
        <w:t xml:space="preserve"> </w:t>
      </w:r>
      <w:r w:rsidR="00267E41">
        <w:rPr>
          <w:rFonts w:ascii="Tahoma" w:hAnsi="Tahoma" w:hint="cs"/>
          <w:rtl/>
        </w:rPr>
        <w:t xml:space="preserve">פחד. </w:t>
      </w:r>
    </w:p>
    <w:p w:rsidR="00305778" w:rsidRDefault="00267E41" w:rsidP="00305778">
      <w:pPr>
        <w:numPr>
          <w:ilvl w:val="0"/>
          <w:numId w:val="4"/>
        </w:numPr>
        <w:spacing w:after="120" w:line="360" w:lineRule="auto"/>
        <w:ind w:left="360"/>
        <w:jc w:val="both"/>
        <w:rPr>
          <w:rFonts w:ascii="Tahoma" w:hAnsi="Tahoma"/>
        </w:rPr>
      </w:pPr>
      <w:r>
        <w:rPr>
          <w:rFonts w:ascii="Tahoma" w:hAnsi="Tahoma" w:hint="cs"/>
          <w:rtl/>
        </w:rPr>
        <w:t>חובת בתי המשפט הי</w:t>
      </w:r>
      <w:r w:rsidR="009D2926">
        <w:rPr>
          <w:rFonts w:ascii="Tahoma" w:hAnsi="Tahoma" w:hint="cs"/>
          <w:rtl/>
        </w:rPr>
        <w:t>א אפוא להחמיר ע</w:t>
      </w:r>
      <w:r w:rsidR="00027C5E">
        <w:rPr>
          <w:rFonts w:ascii="Tahoma" w:hAnsi="Tahoma" w:hint="cs"/>
          <w:rtl/>
        </w:rPr>
        <w:t>ם אלה התוקפים שוטרים, בפרט כאשר מדובר בתקיפה בנסיבות מחמירות</w:t>
      </w:r>
      <w:r w:rsidR="009D2926">
        <w:rPr>
          <w:rFonts w:ascii="Tahoma" w:hAnsi="Tahoma" w:hint="cs"/>
          <w:rtl/>
        </w:rPr>
        <w:t xml:space="preserve">, </w:t>
      </w:r>
      <w:r w:rsidR="00D03A22">
        <w:rPr>
          <w:rFonts w:ascii="Tahoma" w:hAnsi="Tahoma" w:hint="cs"/>
          <w:rtl/>
        </w:rPr>
        <w:t xml:space="preserve">והכל </w:t>
      </w:r>
      <w:r w:rsidR="009D2926">
        <w:rPr>
          <w:rFonts w:ascii="Tahoma" w:hAnsi="Tahoma" w:hint="cs"/>
          <w:rtl/>
        </w:rPr>
        <w:t xml:space="preserve">על מנת לאפשר לגורמי אכיפת החוק לבצע את תפקידם נאמנה; וכך </w:t>
      </w:r>
      <w:r w:rsidR="00D03A22">
        <w:rPr>
          <w:rFonts w:ascii="Tahoma" w:hAnsi="Tahoma" w:hint="cs"/>
          <w:rtl/>
        </w:rPr>
        <w:t xml:space="preserve">אמנם </w:t>
      </w:r>
      <w:r w:rsidR="009D2926">
        <w:rPr>
          <w:rFonts w:ascii="Tahoma" w:hAnsi="Tahoma" w:hint="cs"/>
          <w:rtl/>
        </w:rPr>
        <w:t>נפסק לא אחת:</w:t>
      </w:r>
    </w:p>
    <w:p w:rsidR="00305778" w:rsidRDefault="00305778" w:rsidP="00121F73">
      <w:pPr>
        <w:spacing w:after="120" w:line="360" w:lineRule="auto"/>
        <w:ind w:left="720"/>
        <w:jc w:val="both"/>
        <w:rPr>
          <w:rFonts w:ascii="Tahoma" w:hAnsi="Tahoma"/>
        </w:rPr>
      </w:pPr>
      <w:r w:rsidRPr="00AC4243">
        <w:rPr>
          <w:rFonts w:ascii="Tahoma" w:hAnsi="Tahoma"/>
          <w:b/>
          <w:bCs/>
          <w:rtl/>
        </w:rPr>
        <w:t>משטרת ישראל היא הלכה למעשה הגילוי היום יומי של שלטון החוק במדינת ישראל, ומוטלים עליה תפקידים רבים במדינתנו רוו</w:t>
      </w:r>
      <w:r w:rsidR="00AC4243">
        <w:rPr>
          <w:rFonts w:ascii="Tahoma" w:hAnsi="Tahoma" w:hint="cs"/>
          <w:b/>
          <w:bCs/>
          <w:rtl/>
        </w:rPr>
        <w:t>י</w:t>
      </w:r>
      <w:r w:rsidRPr="00AC4243">
        <w:rPr>
          <w:rFonts w:ascii="Tahoma" w:hAnsi="Tahoma"/>
          <w:b/>
          <w:bCs/>
          <w:rtl/>
        </w:rPr>
        <w:t>ית הקשיים, המתחים והאיומים</w:t>
      </w:r>
      <w:r w:rsidRPr="00AC4243">
        <w:rPr>
          <w:rFonts w:ascii="Tahoma" w:hAnsi="Tahoma" w:hint="cs"/>
          <w:b/>
          <w:bCs/>
          <w:rtl/>
        </w:rPr>
        <w:t xml:space="preserve">... </w:t>
      </w:r>
      <w:r w:rsidRPr="00AC4243">
        <w:rPr>
          <w:rFonts w:ascii="Tahoma" w:hAnsi="Tahoma"/>
          <w:b/>
          <w:bCs/>
          <w:rtl/>
        </w:rPr>
        <w:t>שוטרי משטרת ישראל, כמו אנשי שאר זרועות הביטחון, עושים לילות כימים למען שמירה על ביטחון הציבור, ועל כן מחויבים אנו לעשות ככל שניתן על מנת להגן עליהם מפני מי שמנסים להלך עליהם אימים ולפגוע בעבודתם החשובה, אשר נעשית למען כלל הציבור ולהבטחת ביטחונו האישי. ללא הגנה ראויה על אוכפי החוק לא תוכל המדינה להבטיח לציבור הרחב אכיפה יעילה של החוק והבטחת הסדר הציבור</w:t>
      </w:r>
      <w:r w:rsidRPr="00AC4243">
        <w:rPr>
          <w:rFonts w:ascii="Tahoma" w:hAnsi="Tahoma" w:hint="cs"/>
          <w:b/>
          <w:bCs/>
          <w:rtl/>
        </w:rPr>
        <w:t>י...</w:t>
      </w:r>
      <w:r w:rsidRPr="00AC4243">
        <w:rPr>
          <w:rFonts w:ascii="Tahoma" w:hAnsi="Tahoma"/>
          <w:b/>
          <w:bCs/>
          <w:rtl/>
        </w:rPr>
        <w:t xml:space="preserve"> יש להוקיע מעשים בהם אדם עושה דין לעצמו ומפריע לעובדי ציבור במילוי תפקידם בכלל ולשוטרי משטרת ישראל בפרט. מעשי תקיפה ואיומים כלפי שוטרי משטרת ישראל, רק מפני שהם ממלאים את תפקידם כחוק, מערערים את המוסכמות הבסיסיות ביותר של החברה הדמוקרטית בה אנו חיים. חברה המכבדת את שלטון החוק ואת זכויותיו של הזולת לא תאפשר פגיעה בנציגי החוק</w:t>
      </w:r>
      <w:r w:rsidRPr="00305778">
        <w:rPr>
          <w:rFonts w:ascii="Tahoma" w:hAnsi="Tahoma" w:hint="cs"/>
          <w:rtl/>
        </w:rPr>
        <w:t xml:space="preserve"> (</w:t>
      </w:r>
      <w:r w:rsidRPr="00305778">
        <w:rPr>
          <w:rFonts w:ascii="Tahoma" w:hAnsi="Tahoma"/>
          <w:rtl/>
        </w:rPr>
        <w:t>ע"פ 9878/09 </w:t>
      </w:r>
      <w:r w:rsidRPr="00305778">
        <w:rPr>
          <w:rFonts w:ascii="Tahoma" w:hAnsi="Tahoma"/>
          <w:b/>
          <w:bCs/>
          <w:rtl/>
        </w:rPr>
        <w:t>מדינת ישראל נ' מוסא</w:t>
      </w:r>
      <w:r w:rsidRPr="00305778">
        <w:rPr>
          <w:rFonts w:ascii="Tahoma" w:hAnsi="Tahoma"/>
          <w:rtl/>
        </w:rPr>
        <w:t> (20.09.2010)</w:t>
      </w:r>
      <w:r w:rsidRPr="00305778">
        <w:rPr>
          <w:rFonts w:ascii="Tahoma" w:hAnsi="Tahoma" w:hint="cs"/>
          <w:rtl/>
        </w:rPr>
        <w:t>, בפסקה 26 לפסק הדין).</w:t>
      </w:r>
    </w:p>
    <w:p w:rsidR="00AC4243" w:rsidRDefault="00AC4243" w:rsidP="00FB14AE">
      <w:pPr>
        <w:numPr>
          <w:ilvl w:val="0"/>
          <w:numId w:val="4"/>
        </w:numPr>
        <w:spacing w:after="120" w:line="360" w:lineRule="auto"/>
        <w:ind w:left="360"/>
        <w:jc w:val="both"/>
        <w:rPr>
          <w:rFonts w:ascii="Tahoma" w:hAnsi="Tahoma"/>
        </w:rPr>
      </w:pPr>
      <w:r>
        <w:rPr>
          <w:rFonts w:ascii="Tahoma" w:hAnsi="Tahoma" w:hint="cs"/>
          <w:rtl/>
        </w:rPr>
        <w:t xml:space="preserve">בהקשר זה יש גם לתת את הדעת על כך </w:t>
      </w:r>
      <w:r w:rsidR="00BA0E6D">
        <w:rPr>
          <w:rFonts w:ascii="Tahoma" w:hAnsi="Tahoma" w:hint="cs"/>
          <w:rtl/>
        </w:rPr>
        <w:t>ש</w:t>
      </w:r>
      <w:r>
        <w:rPr>
          <w:rFonts w:ascii="Tahoma" w:hAnsi="Tahoma" w:hint="cs"/>
          <w:rtl/>
        </w:rPr>
        <w:t xml:space="preserve">העבירה של תקיפת שוטר בנסיבות מחמירות </w:t>
      </w:r>
      <w:r>
        <w:rPr>
          <w:rFonts w:ascii="Tahoma" w:hAnsi="Tahoma"/>
          <w:rtl/>
        </w:rPr>
        <w:t>–</w:t>
      </w:r>
      <w:r>
        <w:rPr>
          <w:rFonts w:ascii="Tahoma" w:hAnsi="Tahoma" w:hint="cs"/>
          <w:rtl/>
        </w:rPr>
        <w:t xml:space="preserve"> שהנאשם הורשע בשתיים מתוך שלוש חלופותיה </w:t>
      </w:r>
      <w:r>
        <w:rPr>
          <w:rFonts w:ascii="Tahoma" w:hAnsi="Tahoma"/>
          <w:rtl/>
        </w:rPr>
        <w:t>–</w:t>
      </w:r>
      <w:r>
        <w:rPr>
          <w:rFonts w:ascii="Tahoma" w:hAnsi="Tahoma" w:hint="cs"/>
          <w:rtl/>
        </w:rPr>
        <w:t xml:space="preserve"> תוקנה בזמנו במסגרת </w:t>
      </w:r>
      <w:r w:rsidR="00BF509B">
        <w:rPr>
          <w:rFonts w:ascii="Tahoma" w:hAnsi="Tahoma" w:hint="cs"/>
          <w:rtl/>
        </w:rPr>
        <w:t>הוראות חוק העונשין (תיקון מס' 105</w:t>
      </w:r>
      <w:r>
        <w:rPr>
          <w:rFonts w:ascii="Tahoma" w:hAnsi="Tahoma" w:hint="cs"/>
          <w:rtl/>
        </w:rPr>
        <w:t>)</w:t>
      </w:r>
      <w:r w:rsidR="00BF509B">
        <w:rPr>
          <w:rFonts w:ascii="Tahoma" w:hAnsi="Tahoma" w:hint="cs"/>
          <w:rtl/>
        </w:rPr>
        <w:t>, תש"ע-2010</w:t>
      </w:r>
      <w:r>
        <w:rPr>
          <w:rFonts w:ascii="Tahoma" w:hAnsi="Tahoma" w:hint="cs"/>
          <w:rtl/>
        </w:rPr>
        <w:t xml:space="preserve"> (</w:t>
      </w:r>
      <w:r w:rsidR="006124FD">
        <w:rPr>
          <w:rFonts w:ascii="Tahoma" w:hAnsi="Tahoma" w:hint="cs"/>
          <w:b/>
          <w:bCs/>
          <w:rtl/>
        </w:rPr>
        <w:t>ספר החוקים</w:t>
      </w:r>
      <w:r>
        <w:rPr>
          <w:rFonts w:ascii="Tahoma" w:hAnsi="Tahoma" w:hint="cs"/>
          <w:rtl/>
        </w:rPr>
        <w:t xml:space="preserve"> </w:t>
      </w:r>
      <w:r w:rsidR="003F0FAD">
        <w:rPr>
          <w:rFonts w:ascii="Tahoma" w:hAnsi="Tahoma" w:hint="cs"/>
          <w:rtl/>
        </w:rPr>
        <w:t xml:space="preserve">2229 </w:t>
      </w:r>
      <w:r>
        <w:rPr>
          <w:rFonts w:ascii="Tahoma" w:hAnsi="Tahoma" w:hint="cs"/>
          <w:rtl/>
        </w:rPr>
        <w:t>תש"ע</w:t>
      </w:r>
      <w:r w:rsidR="003F0FAD">
        <w:rPr>
          <w:rFonts w:ascii="Tahoma" w:hAnsi="Tahoma" w:hint="cs"/>
          <w:rtl/>
        </w:rPr>
        <w:t>, בעמ' 385</w:t>
      </w:r>
      <w:r>
        <w:rPr>
          <w:rFonts w:ascii="Tahoma" w:hAnsi="Tahoma" w:hint="cs"/>
          <w:rtl/>
        </w:rPr>
        <w:t xml:space="preserve">), תוך הרחבת </w:t>
      </w:r>
      <w:r w:rsidR="004D0F4F">
        <w:rPr>
          <w:rFonts w:ascii="Tahoma" w:hAnsi="Tahoma" w:hint="cs"/>
          <w:rtl/>
        </w:rPr>
        <w:t xml:space="preserve">הגדרות העבירה. </w:t>
      </w:r>
      <w:r w:rsidR="00C2421B">
        <w:rPr>
          <w:rFonts w:ascii="Tahoma" w:hAnsi="Tahoma" w:hint="cs"/>
          <w:rtl/>
        </w:rPr>
        <w:t xml:space="preserve">יוטעם, כי </w:t>
      </w:r>
      <w:r w:rsidR="004D0F4F">
        <w:rPr>
          <w:rFonts w:ascii="Tahoma" w:hAnsi="Tahoma" w:hint="cs"/>
          <w:rtl/>
        </w:rPr>
        <w:t xml:space="preserve">בדיונים שנערכו בכנסת בהליך </w:t>
      </w:r>
      <w:r w:rsidR="00BA0E6D">
        <w:rPr>
          <w:rFonts w:ascii="Tahoma" w:hAnsi="Tahoma" w:hint="cs"/>
          <w:rtl/>
        </w:rPr>
        <w:t xml:space="preserve">חקיקת התיקון </w:t>
      </w:r>
      <w:r w:rsidR="004D0F4F">
        <w:rPr>
          <w:rFonts w:ascii="Tahoma" w:hAnsi="Tahoma" w:hint="cs"/>
          <w:rtl/>
        </w:rPr>
        <w:t xml:space="preserve">הודגשה החשיבות שבהרחבת ההגנה על שוטרים, המצויים בחזית המאבק מול האלימות, מפני הפגיעות המתרבות בהם (ר' </w:t>
      </w:r>
      <w:r w:rsidR="004D0F4F" w:rsidRPr="001B6205">
        <w:rPr>
          <w:rFonts w:ascii="Tahoma" w:hAnsi="Tahoma" w:hint="cs"/>
          <w:b/>
          <w:bCs/>
          <w:rtl/>
        </w:rPr>
        <w:t>דברי הכנסת</w:t>
      </w:r>
      <w:r w:rsidR="004D0F4F">
        <w:rPr>
          <w:rFonts w:ascii="Tahoma" w:hAnsi="Tahoma" w:hint="cs"/>
          <w:rtl/>
        </w:rPr>
        <w:t xml:space="preserve"> מיום 08</w:t>
      </w:r>
      <w:r w:rsidR="001B6205">
        <w:rPr>
          <w:rFonts w:ascii="Tahoma" w:hAnsi="Tahoma" w:hint="cs"/>
          <w:rtl/>
        </w:rPr>
        <w:t>.02.2010</w:t>
      </w:r>
      <w:r w:rsidR="006124FD">
        <w:rPr>
          <w:rFonts w:ascii="Tahoma" w:hAnsi="Tahoma" w:hint="cs"/>
          <w:rtl/>
        </w:rPr>
        <w:t xml:space="preserve"> (חוברת י"ח)</w:t>
      </w:r>
      <w:r w:rsidR="001B6205">
        <w:rPr>
          <w:rFonts w:ascii="Tahoma" w:hAnsi="Tahoma" w:hint="cs"/>
          <w:rtl/>
        </w:rPr>
        <w:t xml:space="preserve">, בעמ' 7803-7802). כאן </w:t>
      </w:r>
      <w:r w:rsidR="00FB14AE">
        <w:rPr>
          <w:rFonts w:ascii="Tahoma" w:hAnsi="Tahoma" w:hint="cs"/>
          <w:rtl/>
        </w:rPr>
        <w:t xml:space="preserve">גם </w:t>
      </w:r>
      <w:r w:rsidR="001B6205">
        <w:rPr>
          <w:rFonts w:ascii="Tahoma" w:hAnsi="Tahoma" w:hint="cs"/>
          <w:rtl/>
        </w:rPr>
        <w:t xml:space="preserve">יש </w:t>
      </w:r>
      <w:r w:rsidR="00BA0E6D">
        <w:rPr>
          <w:rFonts w:ascii="Tahoma" w:hAnsi="Tahoma" w:hint="cs"/>
          <w:rtl/>
        </w:rPr>
        <w:t>להוסיף ו</w:t>
      </w:r>
      <w:r w:rsidR="001B6205">
        <w:rPr>
          <w:rFonts w:ascii="Tahoma" w:hAnsi="Tahoma" w:hint="cs"/>
          <w:rtl/>
        </w:rPr>
        <w:t xml:space="preserve">לציין כי לא זו בלבד שמדובר בעבירה מסוג פשע, אלא </w:t>
      </w:r>
      <w:r w:rsidR="003F0FAD">
        <w:rPr>
          <w:rFonts w:ascii="Tahoma" w:hAnsi="Tahoma" w:hint="cs"/>
          <w:rtl/>
        </w:rPr>
        <w:t xml:space="preserve">גם </w:t>
      </w:r>
      <w:r w:rsidR="001B6205">
        <w:rPr>
          <w:rFonts w:ascii="Tahoma" w:hAnsi="Tahoma" w:hint="cs"/>
          <w:rtl/>
        </w:rPr>
        <w:t>בעבירה שב</w:t>
      </w:r>
      <w:r w:rsidR="00BA0E6D">
        <w:rPr>
          <w:rFonts w:ascii="Tahoma" w:hAnsi="Tahoma" w:hint="cs"/>
          <w:rtl/>
        </w:rPr>
        <w:t>ציד</w:t>
      </w:r>
      <w:r w:rsidR="003F0FAD">
        <w:rPr>
          <w:rFonts w:ascii="Tahoma" w:hAnsi="Tahoma" w:hint="cs"/>
          <w:rtl/>
        </w:rPr>
        <w:t>ה</w:t>
      </w:r>
      <w:r w:rsidR="001B6205">
        <w:rPr>
          <w:rFonts w:ascii="Tahoma" w:hAnsi="Tahoma" w:hint="cs"/>
          <w:rtl/>
        </w:rPr>
        <w:t xml:space="preserve"> נקבע </w:t>
      </w:r>
      <w:r w:rsidR="001B6205">
        <w:rPr>
          <w:rFonts w:ascii="Tahoma" w:hAnsi="Tahoma"/>
          <w:rtl/>
        </w:rPr>
        <w:t>–</w:t>
      </w:r>
      <w:r w:rsidR="001B6205">
        <w:rPr>
          <w:rFonts w:ascii="Tahoma" w:hAnsi="Tahoma" w:hint="cs"/>
          <w:rtl/>
        </w:rPr>
        <w:t xml:space="preserve"> באופן חריג יחסית במשפטנו </w:t>
      </w:r>
      <w:r w:rsidR="001B6205">
        <w:rPr>
          <w:rFonts w:ascii="Tahoma" w:hAnsi="Tahoma"/>
          <w:rtl/>
        </w:rPr>
        <w:t>–</w:t>
      </w:r>
      <w:r w:rsidR="001B6205">
        <w:rPr>
          <w:rFonts w:ascii="Tahoma" w:hAnsi="Tahoma" w:hint="cs"/>
          <w:rtl/>
        </w:rPr>
        <w:t xml:space="preserve"> עונש מזערי של שלושה חודשי מאסר.</w:t>
      </w:r>
    </w:p>
    <w:p w:rsidR="001B6205" w:rsidRPr="00C2421B" w:rsidRDefault="001B6205" w:rsidP="00C2421B">
      <w:pPr>
        <w:numPr>
          <w:ilvl w:val="0"/>
          <w:numId w:val="4"/>
        </w:numPr>
        <w:spacing w:after="120" w:line="360" w:lineRule="auto"/>
        <w:ind w:left="360"/>
        <w:jc w:val="both"/>
        <w:rPr>
          <w:rFonts w:ascii="Tahoma" w:hAnsi="Tahoma"/>
        </w:rPr>
      </w:pPr>
      <w:r w:rsidRPr="00C64B26">
        <w:rPr>
          <w:rFonts w:ascii="Tahoma" w:hAnsi="Tahoma" w:hint="cs"/>
          <w:rtl/>
        </w:rPr>
        <w:lastRenderedPageBreak/>
        <w:t>כאמור, מתחם העונש ההולם נגזר לא רק מחומרת העבירה בה הורשע הנאשם כשלעצמה אלא גם מחומרתה בנסיבות הספציפיות שבה בוצעה. בהקשר זה א</w:t>
      </w:r>
      <w:r w:rsidR="00AC4073" w:rsidRPr="00C64B26">
        <w:rPr>
          <w:rFonts w:ascii="Tahoma" w:hAnsi="Tahoma" w:hint="cs"/>
          <w:rtl/>
        </w:rPr>
        <w:t>ציין כי מקובלת עליי</w:t>
      </w:r>
      <w:r w:rsidRPr="00C64B26">
        <w:rPr>
          <w:rFonts w:ascii="Tahoma" w:hAnsi="Tahoma" w:hint="cs"/>
          <w:rtl/>
        </w:rPr>
        <w:t xml:space="preserve"> טענת הסניגורית, שלפיה תקי</w:t>
      </w:r>
      <w:r w:rsidR="00AC4073" w:rsidRPr="00C64B26">
        <w:rPr>
          <w:rFonts w:ascii="Tahoma" w:hAnsi="Tahoma" w:hint="cs"/>
          <w:rtl/>
        </w:rPr>
        <w:t xml:space="preserve">פה באמצעות גז פלפל </w:t>
      </w:r>
      <w:r w:rsidR="00AC4073" w:rsidRPr="00C64B26">
        <w:rPr>
          <w:rFonts w:ascii="Tahoma" w:hAnsi="Tahoma"/>
          <w:rtl/>
        </w:rPr>
        <w:t>–</w:t>
      </w:r>
      <w:r w:rsidR="00AC4073" w:rsidRPr="00C64B26">
        <w:rPr>
          <w:rFonts w:ascii="Tahoma" w:hAnsi="Tahoma" w:hint="cs"/>
          <w:rtl/>
        </w:rPr>
        <w:t xml:space="preserve"> שמעצם טיבו מ</w:t>
      </w:r>
      <w:r w:rsidR="00A16A82">
        <w:rPr>
          <w:rFonts w:ascii="Tahoma" w:hAnsi="Tahoma" w:hint="cs"/>
          <w:rtl/>
        </w:rPr>
        <w:t>תוכנן שלא לגרום לפגיעות בלתי-</w:t>
      </w:r>
      <w:r w:rsidR="00AC4073" w:rsidRPr="00C64B26">
        <w:rPr>
          <w:rFonts w:ascii="Tahoma" w:hAnsi="Tahoma" w:hint="cs"/>
          <w:rtl/>
        </w:rPr>
        <w:t>הפיכות</w:t>
      </w:r>
      <w:r w:rsidR="00C64B26" w:rsidRPr="00C64B26">
        <w:rPr>
          <w:rFonts w:ascii="Tahoma" w:hAnsi="Tahoma" w:hint="cs"/>
          <w:rtl/>
        </w:rPr>
        <w:t xml:space="preserve"> בבני אדם</w:t>
      </w:r>
      <w:r w:rsidR="00AC4073" w:rsidRPr="00C64B26">
        <w:rPr>
          <w:rFonts w:ascii="Tahoma" w:hAnsi="Tahoma" w:hint="cs"/>
          <w:rtl/>
        </w:rPr>
        <w:t xml:space="preserve"> </w:t>
      </w:r>
      <w:r w:rsidR="00AC4073" w:rsidRPr="00C64B26">
        <w:rPr>
          <w:rFonts w:ascii="Tahoma" w:hAnsi="Tahoma"/>
          <w:rtl/>
        </w:rPr>
        <w:t>–</w:t>
      </w:r>
      <w:r w:rsidR="00AC4073" w:rsidRPr="00C64B26">
        <w:rPr>
          <w:rFonts w:ascii="Tahoma" w:hAnsi="Tahoma" w:hint="cs"/>
          <w:rtl/>
        </w:rPr>
        <w:t xml:space="preserve"> היא ככלל חמורה פחות מתקיפה באמצעות נשק קר אחר, כגון אלה או מקל. עם זאת, במקרה הקונקרטי דנא לא מדובר בריסוס גז פלפל גרידא, אלא </w:t>
      </w:r>
      <w:r w:rsidR="00AC4073" w:rsidRPr="00C64B26">
        <w:rPr>
          <w:rFonts w:ascii="Tahoma" w:hAnsi="Tahoma"/>
          <w:rtl/>
        </w:rPr>
        <w:t>–</w:t>
      </w:r>
      <w:r w:rsidR="00AC4073" w:rsidRPr="00C64B26">
        <w:rPr>
          <w:rFonts w:ascii="Tahoma" w:hAnsi="Tahoma" w:hint="cs"/>
          <w:rtl/>
        </w:rPr>
        <w:t xml:space="preserve"> כפי שנקבע </w:t>
      </w:r>
      <w:r w:rsidR="00C64B26" w:rsidRPr="00C64B26">
        <w:rPr>
          <w:rFonts w:ascii="Tahoma" w:hAnsi="Tahoma" w:hint="cs"/>
          <w:rtl/>
        </w:rPr>
        <w:t xml:space="preserve">בהכרעת הדין </w:t>
      </w:r>
      <w:r w:rsidR="00C64B26" w:rsidRPr="00C64B26">
        <w:rPr>
          <w:rFonts w:ascii="Tahoma" w:hAnsi="Tahoma"/>
          <w:rtl/>
        </w:rPr>
        <w:t>–</w:t>
      </w:r>
      <w:r w:rsidR="00C64B26" w:rsidRPr="00C64B26">
        <w:rPr>
          <w:rFonts w:ascii="Tahoma" w:hAnsi="Tahoma" w:hint="cs"/>
          <w:rtl/>
        </w:rPr>
        <w:t xml:space="preserve"> בריסוס ברוטלי מטווח </w:t>
      </w:r>
      <w:r w:rsidR="00C64B26">
        <w:rPr>
          <w:rFonts w:ascii="Tahoma" w:hAnsi="Tahoma" w:hint="cs"/>
          <w:rtl/>
        </w:rPr>
        <w:t>א</w:t>
      </w:r>
      <w:r w:rsidR="00AC4073" w:rsidRPr="00C64B26">
        <w:rPr>
          <w:rFonts w:ascii="Tahoma" w:hAnsi="Tahoma" w:hint="cs"/>
          <w:rtl/>
        </w:rPr>
        <w:t>פס</w:t>
      </w:r>
      <w:r w:rsidR="00C64B26">
        <w:rPr>
          <w:rFonts w:ascii="Tahoma" w:hAnsi="Tahoma" w:hint="cs"/>
          <w:rtl/>
        </w:rPr>
        <w:t xml:space="preserve"> לתוך עיניו של המתלונן. עוד יש לציין כי הריסוס באופן </w:t>
      </w:r>
      <w:r w:rsidR="00BA0E6D">
        <w:rPr>
          <w:rFonts w:ascii="Tahoma" w:hAnsi="Tahoma" w:hint="cs"/>
          <w:rtl/>
        </w:rPr>
        <w:t>ה</w:t>
      </w:r>
      <w:r w:rsidR="00C64B26">
        <w:rPr>
          <w:rFonts w:ascii="Tahoma" w:hAnsi="Tahoma" w:hint="cs"/>
          <w:rtl/>
        </w:rPr>
        <w:t>זה גרם למתלונן לכאבי תופת בעיניו ואף לאובדן ראייה רגעי ולחשש, אם גם רגעי, לאובדן מאור עיניו.</w:t>
      </w:r>
    </w:p>
    <w:p w:rsidR="00C2421B" w:rsidRDefault="00305778" w:rsidP="003D672C">
      <w:pPr>
        <w:numPr>
          <w:ilvl w:val="0"/>
          <w:numId w:val="4"/>
        </w:numPr>
        <w:spacing w:after="120" w:line="360" w:lineRule="auto"/>
        <w:ind w:left="360"/>
        <w:jc w:val="both"/>
        <w:rPr>
          <w:rFonts w:ascii="Tahoma" w:hAnsi="Tahoma"/>
        </w:rPr>
      </w:pPr>
      <w:r>
        <w:rPr>
          <w:rFonts w:ascii="Tahoma" w:hAnsi="Tahoma" w:hint="cs"/>
          <w:rtl/>
        </w:rPr>
        <w:t>זאת ועוד</w:t>
      </w:r>
      <w:r w:rsidR="00AC4243">
        <w:rPr>
          <w:rFonts w:ascii="Tahoma" w:hAnsi="Tahoma" w:hint="cs"/>
          <w:rtl/>
        </w:rPr>
        <w:t xml:space="preserve">: </w:t>
      </w:r>
      <w:r w:rsidR="00C2421B">
        <w:rPr>
          <w:rFonts w:ascii="Tahoma" w:hAnsi="Tahoma" w:hint="cs"/>
          <w:rtl/>
        </w:rPr>
        <w:t xml:space="preserve">הגם שמדובר בתקיפה רגעית שלא תוכננה מראש, </w:t>
      </w:r>
      <w:r w:rsidR="003F0FAD">
        <w:rPr>
          <w:rFonts w:ascii="Tahoma" w:hAnsi="Tahoma" w:hint="cs"/>
          <w:rtl/>
        </w:rPr>
        <w:t xml:space="preserve">בפועל </w:t>
      </w:r>
      <w:r w:rsidR="00C2421B">
        <w:rPr>
          <w:rFonts w:ascii="Tahoma" w:hAnsi="Tahoma" w:hint="cs"/>
          <w:rtl/>
        </w:rPr>
        <w:t>היא בוצעה בעזות מצח רבה</w:t>
      </w:r>
      <w:r w:rsidR="00AF7C04">
        <w:rPr>
          <w:rFonts w:ascii="Tahoma" w:hAnsi="Tahoma" w:hint="cs"/>
          <w:rtl/>
        </w:rPr>
        <w:t>,</w:t>
      </w:r>
      <w:r w:rsidR="00A16A82">
        <w:rPr>
          <w:rFonts w:ascii="Tahoma" w:hAnsi="Tahoma" w:hint="cs"/>
          <w:rtl/>
        </w:rPr>
        <w:t xml:space="preserve"> כשקודם לכן נהג הנאשם בפראות על הטרקטורון, לרבות על מדרכות, וממילא תוך חוסר התחשבות בזולת. התקיפה </w:t>
      </w:r>
      <w:r w:rsidR="00AF7C04">
        <w:rPr>
          <w:rFonts w:ascii="Tahoma" w:hAnsi="Tahoma" w:hint="cs"/>
          <w:rtl/>
        </w:rPr>
        <w:t xml:space="preserve">עצמה </w:t>
      </w:r>
      <w:r w:rsidR="00A16A82">
        <w:rPr>
          <w:rFonts w:ascii="Tahoma" w:hAnsi="Tahoma" w:hint="cs"/>
          <w:rtl/>
        </w:rPr>
        <w:t xml:space="preserve">בוצעה </w:t>
      </w:r>
      <w:r w:rsidR="00C2421B">
        <w:rPr>
          <w:rFonts w:ascii="Tahoma" w:hAnsi="Tahoma" w:hint="cs"/>
          <w:rtl/>
        </w:rPr>
        <w:t>בראש חוצות ו</w:t>
      </w:r>
      <w:r w:rsidR="00C2421B" w:rsidRPr="00C2421B">
        <w:rPr>
          <w:rFonts w:ascii="Tahoma" w:hAnsi="Tahoma"/>
          <w:rtl/>
        </w:rPr>
        <w:t>ברחוב הומה אדם</w:t>
      </w:r>
      <w:r w:rsidR="00A16A82">
        <w:rPr>
          <w:rFonts w:ascii="Tahoma" w:hAnsi="Tahoma" w:hint="cs"/>
          <w:rtl/>
        </w:rPr>
        <w:t xml:space="preserve">, דהיינו </w:t>
      </w:r>
      <w:r w:rsidR="00C2421B">
        <w:rPr>
          <w:rFonts w:ascii="Tahoma" w:hAnsi="Tahoma" w:hint="cs"/>
          <w:rtl/>
        </w:rPr>
        <w:t xml:space="preserve">באופן שיש בו משום השפלת </w:t>
      </w:r>
      <w:r w:rsidR="00AF7C04">
        <w:rPr>
          <w:rFonts w:ascii="Tahoma" w:hAnsi="Tahoma" w:hint="cs"/>
          <w:rtl/>
        </w:rPr>
        <w:t>השוטר-</w:t>
      </w:r>
      <w:r w:rsidR="00C2421B">
        <w:rPr>
          <w:rFonts w:ascii="Tahoma" w:hAnsi="Tahoma" w:hint="cs"/>
          <w:rtl/>
        </w:rPr>
        <w:t xml:space="preserve">המתלונן </w:t>
      </w:r>
      <w:r w:rsidR="0046117E">
        <w:rPr>
          <w:rFonts w:ascii="Tahoma" w:hAnsi="Tahoma" w:hint="cs"/>
          <w:rtl/>
        </w:rPr>
        <w:t xml:space="preserve">ברבים </w:t>
      </w:r>
      <w:r w:rsidR="00C2421B">
        <w:rPr>
          <w:rFonts w:ascii="Tahoma" w:hAnsi="Tahoma" w:hint="cs"/>
          <w:rtl/>
        </w:rPr>
        <w:t xml:space="preserve">וקריאת תגר </w:t>
      </w:r>
      <w:r w:rsidR="00C8640E">
        <w:rPr>
          <w:rFonts w:ascii="Tahoma" w:hAnsi="Tahoma" w:hint="cs"/>
          <w:rtl/>
        </w:rPr>
        <w:t xml:space="preserve">על שלטון החוק, כאשר כלה ונחרצה </w:t>
      </w:r>
      <w:r w:rsidR="00AF7C04">
        <w:rPr>
          <w:rFonts w:ascii="Tahoma" w:hAnsi="Tahoma" w:hint="cs"/>
          <w:rtl/>
        </w:rPr>
        <w:t xml:space="preserve">עם </w:t>
      </w:r>
      <w:r w:rsidR="00C8640E">
        <w:rPr>
          <w:rFonts w:ascii="Tahoma" w:hAnsi="Tahoma" w:hint="cs"/>
          <w:rtl/>
        </w:rPr>
        <w:t xml:space="preserve">הנאשם להכשיל כל חקירה אפשרית בנוגע לטרקטורון ולמנוע את תפיסתו. וכאן נעוצה </w:t>
      </w:r>
      <w:r w:rsidR="006263A0">
        <w:rPr>
          <w:rFonts w:ascii="Tahoma" w:hAnsi="Tahoma" w:hint="cs"/>
          <w:rtl/>
        </w:rPr>
        <w:t xml:space="preserve">גם </w:t>
      </w:r>
      <w:r w:rsidR="00C8640E">
        <w:rPr>
          <w:rFonts w:ascii="Tahoma" w:hAnsi="Tahoma" w:hint="cs"/>
          <w:rtl/>
        </w:rPr>
        <w:t>נסיבת חומרה נוספת. עסקינן בתקיפה שנועדה באופן מובהק להכשלת המתלונן במילוי תפקידו</w:t>
      </w:r>
      <w:r w:rsidR="00AF7C04">
        <w:rPr>
          <w:rFonts w:ascii="Tahoma" w:hAnsi="Tahoma" w:hint="cs"/>
          <w:rtl/>
        </w:rPr>
        <w:t xml:space="preserve">, שכן מדובר </w:t>
      </w:r>
      <w:r w:rsidR="00C73778">
        <w:rPr>
          <w:rFonts w:ascii="Tahoma" w:hAnsi="Tahoma" w:hint="cs"/>
          <w:rtl/>
        </w:rPr>
        <w:t xml:space="preserve">בתקיפה שנועדה </w:t>
      </w:r>
      <w:r w:rsidR="006D0C0B">
        <w:rPr>
          <w:rFonts w:ascii="Tahoma" w:hAnsi="Tahoma" w:hint="cs"/>
          <w:rtl/>
        </w:rPr>
        <w:t xml:space="preserve">לצורך הימלטות </w:t>
      </w:r>
      <w:r w:rsidR="00C73778">
        <w:rPr>
          <w:rFonts w:ascii="Tahoma" w:hAnsi="Tahoma" w:hint="cs"/>
          <w:rtl/>
        </w:rPr>
        <w:t>מהמתלונן</w:t>
      </w:r>
      <w:r w:rsidR="00AF7C04">
        <w:rPr>
          <w:rFonts w:ascii="Tahoma" w:hAnsi="Tahoma" w:hint="cs"/>
          <w:rtl/>
        </w:rPr>
        <w:t xml:space="preserve"> ושיבוש </w:t>
      </w:r>
      <w:r w:rsidR="006D0C0B">
        <w:rPr>
          <w:rFonts w:ascii="Tahoma" w:hAnsi="Tahoma" w:hint="cs"/>
          <w:rtl/>
        </w:rPr>
        <w:t>ה</w:t>
      </w:r>
      <w:r w:rsidR="00C73778">
        <w:rPr>
          <w:rFonts w:ascii="Tahoma" w:hAnsi="Tahoma" w:hint="cs"/>
          <w:rtl/>
        </w:rPr>
        <w:t>חקירה נגד הנאשם (ואולי גם חברו)</w:t>
      </w:r>
      <w:r w:rsidR="003D672C">
        <w:rPr>
          <w:rFonts w:ascii="Tahoma" w:hAnsi="Tahoma" w:hint="cs"/>
          <w:rtl/>
        </w:rPr>
        <w:t>,</w:t>
      </w:r>
      <w:r w:rsidR="00C73778">
        <w:rPr>
          <w:rFonts w:ascii="Tahoma" w:hAnsi="Tahoma" w:hint="cs"/>
          <w:rtl/>
        </w:rPr>
        <w:t xml:space="preserve"> </w:t>
      </w:r>
      <w:r w:rsidR="00AF7C04">
        <w:rPr>
          <w:rFonts w:ascii="Tahoma" w:hAnsi="Tahoma" w:hint="cs"/>
          <w:rtl/>
        </w:rPr>
        <w:t xml:space="preserve">תוך </w:t>
      </w:r>
      <w:r w:rsidR="00C73778">
        <w:rPr>
          <w:rFonts w:ascii="Tahoma" w:hAnsi="Tahoma" w:hint="cs"/>
          <w:rtl/>
        </w:rPr>
        <w:t>העל</w:t>
      </w:r>
      <w:r w:rsidR="006D0C0B">
        <w:rPr>
          <w:rFonts w:ascii="Tahoma" w:hAnsi="Tahoma" w:hint="cs"/>
          <w:rtl/>
        </w:rPr>
        <w:t xml:space="preserve">מת </w:t>
      </w:r>
      <w:r w:rsidR="00C73778">
        <w:rPr>
          <w:rFonts w:ascii="Tahoma" w:hAnsi="Tahoma" w:hint="cs"/>
          <w:rtl/>
        </w:rPr>
        <w:t>הטרקטורון וראיות אחרות</w:t>
      </w:r>
      <w:r w:rsidR="006D0C0B">
        <w:rPr>
          <w:rFonts w:ascii="Tahoma" w:hAnsi="Tahoma" w:hint="cs"/>
          <w:rtl/>
        </w:rPr>
        <w:t>.</w:t>
      </w:r>
    </w:p>
    <w:p w:rsidR="00B21FAC" w:rsidRDefault="006D0C0B" w:rsidP="00121F73">
      <w:pPr>
        <w:numPr>
          <w:ilvl w:val="0"/>
          <w:numId w:val="4"/>
        </w:numPr>
        <w:spacing w:after="120" w:line="360" w:lineRule="auto"/>
        <w:ind w:left="360"/>
        <w:jc w:val="both"/>
        <w:rPr>
          <w:rFonts w:ascii="Tahoma" w:hAnsi="Tahoma"/>
        </w:rPr>
      </w:pPr>
      <w:r>
        <w:rPr>
          <w:rFonts w:ascii="Tahoma" w:hAnsi="Tahoma" w:hint="cs"/>
          <w:rtl/>
        </w:rPr>
        <w:t xml:space="preserve">ברור, אפוא, כי מדובר </w:t>
      </w:r>
      <w:r w:rsidR="00D03A22">
        <w:rPr>
          <w:rFonts w:ascii="Tahoma" w:hAnsi="Tahoma" w:hint="cs"/>
          <w:rtl/>
        </w:rPr>
        <w:t xml:space="preserve">במקרה זה באירוע </w:t>
      </w:r>
      <w:r w:rsidR="00121F73">
        <w:rPr>
          <w:rFonts w:ascii="Tahoma" w:hAnsi="Tahoma" w:hint="cs"/>
          <w:rtl/>
        </w:rPr>
        <w:t xml:space="preserve">חמור של </w:t>
      </w:r>
      <w:r w:rsidR="00D03A22">
        <w:rPr>
          <w:rFonts w:ascii="Tahoma" w:hAnsi="Tahoma" w:hint="cs"/>
          <w:rtl/>
        </w:rPr>
        <w:t>תקיפת שוטר</w:t>
      </w:r>
      <w:r w:rsidR="00B21FAC">
        <w:rPr>
          <w:rFonts w:ascii="Tahoma" w:hAnsi="Tahoma" w:hint="cs"/>
          <w:rtl/>
        </w:rPr>
        <w:t>, וממילא כי אין כל אפשרות לקבל את עתירת ההגנה לקביעת מתחם עונש הולם שתחילתו בענישה צופה פני עתיד. עם זאת, בקביעת מתחם העונש ההולם יש להתחשב גם במדיניות הענישה הנהוגה. אמנם נ</w:t>
      </w:r>
      <w:r w:rsidR="0046117E">
        <w:rPr>
          <w:rFonts w:ascii="Tahoma" w:hAnsi="Tahoma" w:hint="cs"/>
          <w:rtl/>
        </w:rPr>
        <w:t>וכח השוני הרב בין הנסיבות</w:t>
      </w:r>
      <w:r w:rsidR="00B21FAC">
        <w:rPr>
          <w:rFonts w:ascii="Tahoma" w:hAnsi="Tahoma" w:hint="cs"/>
          <w:rtl/>
        </w:rPr>
        <w:t xml:space="preserve"> של מקרי תקיפת </w:t>
      </w:r>
      <w:r w:rsidR="0046117E">
        <w:rPr>
          <w:rFonts w:ascii="Tahoma" w:hAnsi="Tahoma" w:hint="cs"/>
          <w:rtl/>
        </w:rPr>
        <w:t>ה</w:t>
      </w:r>
      <w:r w:rsidR="00B21FAC">
        <w:rPr>
          <w:rFonts w:ascii="Tahoma" w:hAnsi="Tahoma" w:hint="cs"/>
          <w:rtl/>
        </w:rPr>
        <w:t xml:space="preserve">שוטרים </w:t>
      </w:r>
      <w:r w:rsidR="0046117E">
        <w:rPr>
          <w:rFonts w:ascii="Tahoma" w:hAnsi="Tahoma" w:hint="cs"/>
          <w:rtl/>
        </w:rPr>
        <w:t xml:space="preserve">השונים </w:t>
      </w:r>
      <w:r w:rsidR="00B21FAC">
        <w:rPr>
          <w:rFonts w:ascii="Tahoma" w:hAnsi="Tahoma" w:hint="cs"/>
          <w:rtl/>
        </w:rPr>
        <w:t>לא נ</w:t>
      </w:r>
      <w:r w:rsidR="00D03A22">
        <w:rPr>
          <w:rFonts w:ascii="Tahoma" w:hAnsi="Tahoma" w:hint="cs"/>
          <w:rtl/>
        </w:rPr>
        <w:t xml:space="preserve">יתן למצוא מקרה החופף בנסיבותיו את </w:t>
      </w:r>
      <w:r w:rsidR="00B21FAC">
        <w:rPr>
          <w:rFonts w:ascii="Tahoma" w:hAnsi="Tahoma" w:hint="cs"/>
          <w:rtl/>
        </w:rPr>
        <w:t xml:space="preserve">ענייננו, </w:t>
      </w:r>
      <w:r w:rsidR="00D03A22">
        <w:rPr>
          <w:rFonts w:ascii="Tahoma" w:hAnsi="Tahoma" w:hint="cs"/>
          <w:rtl/>
        </w:rPr>
        <w:t xml:space="preserve">אך </w:t>
      </w:r>
      <w:r w:rsidR="00B21FAC">
        <w:rPr>
          <w:rFonts w:ascii="Tahoma" w:hAnsi="Tahoma" w:hint="cs"/>
          <w:rtl/>
        </w:rPr>
        <w:t xml:space="preserve">ממדיניות הענישה הנהוגה </w:t>
      </w:r>
      <w:r w:rsidR="00D03A22">
        <w:rPr>
          <w:rFonts w:ascii="Tahoma" w:hAnsi="Tahoma" w:hint="cs"/>
          <w:rtl/>
        </w:rPr>
        <w:t xml:space="preserve">בפסיקה </w:t>
      </w:r>
      <w:r w:rsidR="00B21FAC">
        <w:rPr>
          <w:rFonts w:ascii="Tahoma" w:hAnsi="Tahoma"/>
          <w:rtl/>
        </w:rPr>
        <w:t>–</w:t>
      </w:r>
      <w:r w:rsidR="00B21FAC">
        <w:rPr>
          <w:rFonts w:ascii="Tahoma" w:hAnsi="Tahoma" w:hint="cs"/>
          <w:rtl/>
        </w:rPr>
        <w:t xml:space="preserve"> ובהקשר זה יש לאזכר </w:t>
      </w:r>
      <w:r w:rsidR="00D03A22">
        <w:rPr>
          <w:rFonts w:ascii="Tahoma" w:hAnsi="Tahoma" w:hint="cs"/>
          <w:rtl/>
        </w:rPr>
        <w:t xml:space="preserve">במיוחד </w:t>
      </w:r>
      <w:r w:rsidR="00B21FAC">
        <w:rPr>
          <w:rFonts w:ascii="Tahoma" w:hAnsi="Tahoma" w:hint="cs"/>
          <w:rtl/>
        </w:rPr>
        <w:t xml:space="preserve">את עניין </w:t>
      </w:r>
      <w:r w:rsidR="00B21FAC" w:rsidRPr="00F14BFE">
        <w:rPr>
          <w:rFonts w:ascii="Tahoma" w:hAnsi="Tahoma" w:hint="cs"/>
          <w:b/>
          <w:bCs/>
          <w:rtl/>
        </w:rPr>
        <w:t>בראנץ</w:t>
      </w:r>
      <w:r w:rsidR="00B21FAC">
        <w:rPr>
          <w:rFonts w:ascii="Tahoma" w:hAnsi="Tahoma" w:hint="cs"/>
          <w:rtl/>
        </w:rPr>
        <w:t xml:space="preserve"> הנ"</w:t>
      </w:r>
      <w:r w:rsidR="00D03A22">
        <w:rPr>
          <w:rFonts w:ascii="Tahoma" w:hAnsi="Tahoma" w:hint="cs"/>
          <w:rtl/>
        </w:rPr>
        <w:t>ל</w:t>
      </w:r>
      <w:r w:rsidR="00B21FAC">
        <w:rPr>
          <w:rFonts w:ascii="Tahoma" w:hAnsi="Tahoma" w:hint="cs"/>
          <w:rtl/>
        </w:rPr>
        <w:t xml:space="preserve"> והאסמכתאות </w:t>
      </w:r>
      <w:r w:rsidR="00F14BFE">
        <w:rPr>
          <w:rFonts w:ascii="Tahoma" w:hAnsi="Tahoma" w:hint="cs"/>
          <w:rtl/>
        </w:rPr>
        <w:t xml:space="preserve">הרבות </w:t>
      </w:r>
      <w:r w:rsidR="00B21FAC">
        <w:rPr>
          <w:rFonts w:ascii="Tahoma" w:hAnsi="Tahoma" w:hint="cs"/>
          <w:rtl/>
        </w:rPr>
        <w:t xml:space="preserve">המאוזכרות בו </w:t>
      </w:r>
      <w:r w:rsidR="00B21FAC">
        <w:rPr>
          <w:rFonts w:ascii="Tahoma" w:hAnsi="Tahoma"/>
          <w:rtl/>
        </w:rPr>
        <w:t>–</w:t>
      </w:r>
      <w:r w:rsidR="00B21FAC">
        <w:rPr>
          <w:rFonts w:ascii="Tahoma" w:hAnsi="Tahoma" w:hint="cs"/>
          <w:rtl/>
        </w:rPr>
        <w:t xml:space="preserve"> עולה כי הרף התחתון של מ</w:t>
      </w:r>
      <w:r w:rsidR="00F14BFE">
        <w:rPr>
          <w:rFonts w:ascii="Tahoma" w:hAnsi="Tahoma" w:hint="cs"/>
          <w:rtl/>
        </w:rPr>
        <w:t xml:space="preserve">תחם העונש ההולם המקובל </w:t>
      </w:r>
      <w:r w:rsidR="00D03A22">
        <w:rPr>
          <w:rFonts w:ascii="Tahoma" w:hAnsi="Tahoma" w:hint="cs"/>
          <w:rtl/>
        </w:rPr>
        <w:t>בכגון דא הוא ל</w:t>
      </w:r>
      <w:r w:rsidR="00F14BFE">
        <w:rPr>
          <w:rFonts w:ascii="Tahoma" w:hAnsi="Tahoma" w:hint="cs"/>
          <w:rtl/>
        </w:rPr>
        <w:t>מ</w:t>
      </w:r>
      <w:r w:rsidR="00B21FAC">
        <w:rPr>
          <w:rFonts w:ascii="Tahoma" w:hAnsi="Tahoma" w:hint="cs"/>
          <w:rtl/>
        </w:rPr>
        <w:t>א</w:t>
      </w:r>
      <w:r w:rsidR="00F14BFE">
        <w:rPr>
          <w:rFonts w:ascii="Tahoma" w:hAnsi="Tahoma" w:hint="cs"/>
          <w:rtl/>
        </w:rPr>
        <w:t>ס</w:t>
      </w:r>
      <w:r w:rsidR="00B21FAC">
        <w:rPr>
          <w:rFonts w:ascii="Tahoma" w:hAnsi="Tahoma" w:hint="cs"/>
          <w:rtl/>
        </w:rPr>
        <w:t>ר בפועל לתקופה</w:t>
      </w:r>
      <w:r w:rsidR="00F14BFE">
        <w:rPr>
          <w:rFonts w:ascii="Tahoma" w:hAnsi="Tahoma" w:hint="cs"/>
          <w:rtl/>
        </w:rPr>
        <w:t xml:space="preserve"> שניתן לשאתה בדרך של עבודות שירות. דומה, כי אף ב"כ המאשימה ערה למסקנה מתבקשת זו, שכן </w:t>
      </w:r>
      <w:r w:rsidR="0046117E">
        <w:rPr>
          <w:rFonts w:ascii="Tahoma" w:hAnsi="Tahoma" w:hint="cs"/>
          <w:rtl/>
        </w:rPr>
        <w:t xml:space="preserve">גם </w:t>
      </w:r>
      <w:r w:rsidR="00F14BFE">
        <w:rPr>
          <w:rFonts w:ascii="Tahoma" w:hAnsi="Tahoma" w:hint="cs"/>
          <w:rtl/>
        </w:rPr>
        <w:t xml:space="preserve">מתחם העונש ההולם לו </w:t>
      </w:r>
      <w:r w:rsidR="0046117E">
        <w:rPr>
          <w:rFonts w:ascii="Tahoma" w:hAnsi="Tahoma" w:hint="cs"/>
          <w:rtl/>
        </w:rPr>
        <w:t xml:space="preserve">היא </w:t>
      </w:r>
      <w:r w:rsidR="00F14BFE">
        <w:rPr>
          <w:rFonts w:ascii="Tahoma" w:hAnsi="Tahoma" w:hint="cs"/>
          <w:rtl/>
        </w:rPr>
        <w:t>עתרה תחילתו בתקופה שניתן לשאתה בדרך כאמור.</w:t>
      </w:r>
    </w:p>
    <w:p w:rsidR="00EA0AF7" w:rsidRPr="009D1498" w:rsidRDefault="00F14BFE" w:rsidP="00EA0AF7">
      <w:pPr>
        <w:numPr>
          <w:ilvl w:val="0"/>
          <w:numId w:val="4"/>
        </w:numPr>
        <w:spacing w:after="120" w:line="360" w:lineRule="auto"/>
        <w:ind w:left="360"/>
        <w:jc w:val="both"/>
        <w:rPr>
          <w:rFonts w:ascii="Tahoma" w:hAnsi="Tahoma"/>
        </w:rPr>
      </w:pPr>
      <w:r>
        <w:rPr>
          <w:rFonts w:hint="cs"/>
          <w:rtl/>
        </w:rPr>
        <w:t>לאור כל האמור אני קובע</w:t>
      </w:r>
      <w:r w:rsidR="000D22AA">
        <w:rPr>
          <w:rFonts w:hint="cs"/>
          <w:rtl/>
        </w:rPr>
        <w:t xml:space="preserve"> את מתחם העונש ההולם, במקרה זה, בין </w:t>
      </w:r>
      <w:r>
        <w:rPr>
          <w:rFonts w:hint="cs"/>
          <w:rtl/>
        </w:rPr>
        <w:t>7</w:t>
      </w:r>
      <w:r w:rsidR="000D22AA">
        <w:rPr>
          <w:rFonts w:hint="cs"/>
          <w:rtl/>
        </w:rPr>
        <w:t xml:space="preserve"> חודשי מאסר בפועל</w:t>
      </w:r>
      <w:r>
        <w:rPr>
          <w:rFonts w:hint="cs"/>
          <w:rtl/>
        </w:rPr>
        <w:t>, שניתן לשאתם בדרך של עבודות שירות,</w:t>
      </w:r>
      <w:r w:rsidR="000D22AA">
        <w:rPr>
          <w:rFonts w:hint="cs"/>
          <w:rtl/>
        </w:rPr>
        <w:t xml:space="preserve"> לבין </w:t>
      </w:r>
      <w:r>
        <w:rPr>
          <w:rFonts w:hint="cs"/>
          <w:rtl/>
        </w:rPr>
        <w:t>15</w:t>
      </w:r>
      <w:r w:rsidR="000D22AA">
        <w:rPr>
          <w:rFonts w:hint="cs"/>
          <w:rtl/>
        </w:rPr>
        <w:t xml:space="preserve"> חודשי מאסר בפועל.</w:t>
      </w:r>
    </w:p>
    <w:p w:rsidR="009D1498" w:rsidRPr="00F14BFE" w:rsidRDefault="009D1498" w:rsidP="009D1498">
      <w:pPr>
        <w:spacing w:after="120" w:line="360" w:lineRule="auto"/>
        <w:jc w:val="both"/>
        <w:rPr>
          <w:rtl/>
        </w:rPr>
      </w:pPr>
    </w:p>
    <w:p w:rsidR="009D1498" w:rsidRPr="009D1498" w:rsidRDefault="009D1498" w:rsidP="009D1498">
      <w:pPr>
        <w:pStyle w:val="aa"/>
        <w:numPr>
          <w:ilvl w:val="0"/>
          <w:numId w:val="3"/>
        </w:numPr>
        <w:snapToGrid w:val="0"/>
        <w:spacing w:after="120" w:line="360" w:lineRule="auto"/>
        <w:ind w:left="360"/>
        <w:jc w:val="both"/>
        <w:rPr>
          <w:b/>
          <w:bCs/>
          <w:u w:val="single"/>
          <w:rtl/>
        </w:rPr>
      </w:pPr>
      <w:r w:rsidRPr="009D1498">
        <w:rPr>
          <w:rFonts w:hint="cs"/>
          <w:b/>
          <w:bCs/>
          <w:u w:val="single"/>
          <w:rtl/>
        </w:rPr>
        <w:t>גזירת עונשו של הנאשם בתוך מתחם העונש ההולם:</w:t>
      </w:r>
    </w:p>
    <w:p w:rsidR="00EA0AF7" w:rsidRDefault="000D22AA" w:rsidP="00EA0AF7">
      <w:pPr>
        <w:numPr>
          <w:ilvl w:val="0"/>
          <w:numId w:val="4"/>
        </w:numPr>
        <w:spacing w:after="120" w:line="360" w:lineRule="auto"/>
        <w:ind w:left="360"/>
        <w:jc w:val="both"/>
        <w:rPr>
          <w:rFonts w:ascii="Tahoma" w:hAnsi="Tahoma"/>
        </w:rPr>
      </w:pPr>
      <w:r>
        <w:rPr>
          <w:rFonts w:hint="cs"/>
          <w:rtl/>
        </w:rPr>
        <w:t xml:space="preserve">לאחר קביעת מתחם העונש ההולם על בית המשפט לגזור את עונשו של הנאשם בתוך מתחם זה </w:t>
      </w:r>
      <w:r>
        <w:rPr>
          <w:rtl/>
        </w:rPr>
        <w:t>–</w:t>
      </w:r>
      <w:r>
        <w:rPr>
          <w:rFonts w:hint="cs"/>
          <w:rtl/>
        </w:rPr>
        <w:t xml:space="preserve"> למעט במקרים יוצאי דופן, בהם הוא רשאי לחרוג מכך, שאין עניינם לכאן </w:t>
      </w:r>
      <w:r>
        <w:rPr>
          <w:rtl/>
        </w:rPr>
        <w:t>–</w:t>
      </w:r>
      <w:r>
        <w:rPr>
          <w:rFonts w:hint="cs"/>
          <w:rtl/>
        </w:rPr>
        <w:t xml:space="preserve"> תוך התחשבות בנסי</w:t>
      </w:r>
      <w:r w:rsidR="00F67479">
        <w:rPr>
          <w:rFonts w:hint="cs"/>
          <w:rtl/>
        </w:rPr>
        <w:t>בות שאינן קשורות בביצוע העבירות, לרבות אלה המנויות בהוראות סעיף 40יא לחוק העונשין</w:t>
      </w:r>
      <w:r w:rsidR="00F67479">
        <w:rPr>
          <w:rFonts w:ascii="Tahoma" w:hAnsi="Tahoma" w:hint="cs"/>
          <w:rtl/>
        </w:rPr>
        <w:t>.</w:t>
      </w:r>
    </w:p>
    <w:p w:rsidR="00F67479" w:rsidRDefault="000D22AA" w:rsidP="00F67479">
      <w:pPr>
        <w:numPr>
          <w:ilvl w:val="0"/>
          <w:numId w:val="4"/>
        </w:numPr>
        <w:spacing w:after="120" w:line="360" w:lineRule="auto"/>
        <w:ind w:left="360"/>
        <w:jc w:val="both"/>
        <w:rPr>
          <w:rFonts w:ascii="Tahoma" w:hAnsi="Tahoma"/>
        </w:rPr>
      </w:pPr>
      <w:r>
        <w:rPr>
          <w:rFonts w:hint="cs"/>
          <w:rtl/>
        </w:rPr>
        <w:t>אשר לנאשם שלפניי, השיקולים הרלוואנטיים לגזירת עונשו הם כלהלן:</w:t>
      </w:r>
    </w:p>
    <w:p w:rsidR="00F67479" w:rsidRDefault="00F67479" w:rsidP="006263A0">
      <w:pPr>
        <w:snapToGrid w:val="0"/>
        <w:spacing w:after="120" w:line="360" w:lineRule="auto"/>
        <w:ind w:left="720"/>
        <w:jc w:val="both"/>
        <w:rPr>
          <w:rtl/>
        </w:rPr>
      </w:pPr>
      <w:r w:rsidRPr="00627467">
        <w:rPr>
          <w:rFonts w:hint="cs"/>
          <w:b/>
          <w:bCs/>
          <w:rtl/>
        </w:rPr>
        <w:lastRenderedPageBreak/>
        <w:t xml:space="preserve">עברו הפלילי של הנאשם </w:t>
      </w:r>
      <w:r w:rsidRPr="00627467">
        <w:rPr>
          <w:b/>
          <w:bCs/>
          <w:rtl/>
        </w:rPr>
        <w:t>–</w:t>
      </w:r>
      <w:r w:rsidRPr="00627467">
        <w:rPr>
          <w:rFonts w:hint="cs"/>
          <w:b/>
          <w:bCs/>
          <w:rtl/>
        </w:rPr>
        <w:t xml:space="preserve"> </w:t>
      </w:r>
      <w:r>
        <w:rPr>
          <w:rFonts w:hint="cs"/>
          <w:rtl/>
        </w:rPr>
        <w:t xml:space="preserve">לנאשם שש הרשעות קודמות ושני רישומים קודמים נוספים. נתון זה הוא בעל משמעות מהותית, שכן </w:t>
      </w:r>
      <w:r w:rsidR="006263A0">
        <w:rPr>
          <w:rFonts w:hint="cs"/>
          <w:rtl/>
        </w:rPr>
        <w:t xml:space="preserve">יש בו כדי ללמד </w:t>
      </w:r>
      <w:r>
        <w:rPr>
          <w:rFonts w:hint="cs"/>
          <w:rtl/>
        </w:rPr>
        <w:t xml:space="preserve">כי עסקינן בנאשם החוזר ומבצע עבירות, הפוגעות בציבור, וכי העונשים שהושתו עליו בעבר לא הרתיעו אותו מלחזור ולשוב לסורו. </w:t>
      </w:r>
      <w:r w:rsidR="00F02050">
        <w:rPr>
          <w:rFonts w:hint="cs"/>
          <w:rtl/>
        </w:rPr>
        <w:t xml:space="preserve">יוטעם, כי </w:t>
      </w:r>
      <w:r>
        <w:rPr>
          <w:rFonts w:hint="cs"/>
          <w:rtl/>
        </w:rPr>
        <w:t>הרשעתו הקודמת האחרונה של הנאשם היא בגין עבירה שנעברה בע</w:t>
      </w:r>
      <w:r w:rsidR="006263A0">
        <w:rPr>
          <w:rFonts w:hint="cs"/>
          <w:rtl/>
        </w:rPr>
        <w:t xml:space="preserve">ת שתיק זה </w:t>
      </w:r>
      <w:r w:rsidR="00F02050">
        <w:rPr>
          <w:rFonts w:hint="cs"/>
          <w:rtl/>
        </w:rPr>
        <w:t xml:space="preserve">כבר </w:t>
      </w:r>
      <w:r w:rsidR="006263A0">
        <w:rPr>
          <w:rFonts w:hint="cs"/>
          <w:rtl/>
        </w:rPr>
        <w:t>היה תלוי ועומד נגדו</w:t>
      </w:r>
      <w:r w:rsidR="00F02050">
        <w:rPr>
          <w:rFonts w:hint="cs"/>
          <w:rtl/>
        </w:rPr>
        <w:t xml:space="preserve"> והתנהלו בו הליכים מקדמיים</w:t>
      </w:r>
      <w:r w:rsidR="006263A0">
        <w:rPr>
          <w:rFonts w:hint="cs"/>
          <w:rtl/>
        </w:rPr>
        <w:t xml:space="preserve">. בנוסף, </w:t>
      </w:r>
      <w:r>
        <w:rPr>
          <w:rFonts w:hint="cs"/>
          <w:rtl/>
        </w:rPr>
        <w:t>בעברו נשפט הנאשם, מספר פעמים, לעונשי מאסר בפועל משמעותיים.</w:t>
      </w:r>
    </w:p>
    <w:p w:rsidR="00F67479" w:rsidRDefault="00F67479" w:rsidP="00F67479">
      <w:pPr>
        <w:snapToGrid w:val="0"/>
        <w:spacing w:after="120" w:line="360" w:lineRule="auto"/>
        <w:ind w:left="720"/>
        <w:jc w:val="both"/>
        <w:rPr>
          <w:rtl/>
        </w:rPr>
      </w:pPr>
      <w:r w:rsidRPr="0047118D">
        <w:rPr>
          <w:rFonts w:hint="cs"/>
          <w:b/>
          <w:bCs/>
          <w:rtl/>
        </w:rPr>
        <w:t>הפגיעה של העונש בנאשם ובמשפחתו –</w:t>
      </w:r>
      <w:r w:rsidRPr="0047118D">
        <w:rPr>
          <w:rFonts w:hint="cs"/>
          <w:rtl/>
        </w:rPr>
        <w:t xml:space="preserve"> הטלת עונש של מאסר בפועל תפגע </w:t>
      </w:r>
      <w:r>
        <w:rPr>
          <w:rFonts w:hint="cs"/>
          <w:rtl/>
        </w:rPr>
        <w:t xml:space="preserve">בוודאי </w:t>
      </w:r>
      <w:r w:rsidRPr="0047118D">
        <w:rPr>
          <w:rFonts w:hint="cs"/>
          <w:rtl/>
        </w:rPr>
        <w:t xml:space="preserve">הן בנאשם </w:t>
      </w:r>
      <w:r>
        <w:rPr>
          <w:rFonts w:hint="cs"/>
          <w:rtl/>
        </w:rPr>
        <w:t xml:space="preserve">עצמו </w:t>
      </w:r>
      <w:r w:rsidRPr="0047118D">
        <w:rPr>
          <w:rFonts w:hint="cs"/>
          <w:rtl/>
        </w:rPr>
        <w:t>והן במשפחתו</w:t>
      </w:r>
      <w:r>
        <w:rPr>
          <w:rFonts w:hint="cs"/>
          <w:rtl/>
        </w:rPr>
        <w:t xml:space="preserve"> (הכוללת את זוגתו דהיום וילדם המשותף, כמו גם שני ילדיו של הנאשם מנישואיו הקודמים). נתונים אלה יש לזקוף לקולת העונש.</w:t>
      </w:r>
    </w:p>
    <w:p w:rsidR="00F67479" w:rsidRDefault="00F67479" w:rsidP="00F67479">
      <w:pPr>
        <w:snapToGrid w:val="0"/>
        <w:spacing w:after="120" w:line="360" w:lineRule="auto"/>
        <w:ind w:left="720"/>
        <w:jc w:val="both"/>
        <w:rPr>
          <w:rFonts w:ascii="Tahoma" w:hAnsi="Tahoma"/>
          <w:rtl/>
        </w:rPr>
      </w:pPr>
      <w:r w:rsidRPr="00627467">
        <w:rPr>
          <w:rFonts w:hint="cs"/>
          <w:b/>
          <w:bCs/>
          <w:rtl/>
        </w:rPr>
        <w:t>הודאה ונטילת אחריות</w:t>
      </w:r>
      <w:r>
        <w:rPr>
          <w:rFonts w:hint="cs"/>
          <w:b/>
          <w:bCs/>
          <w:rtl/>
        </w:rPr>
        <w:t>, וסוגיית חלוף הזמן</w:t>
      </w:r>
      <w:r w:rsidRPr="00627467">
        <w:rPr>
          <w:rFonts w:hint="cs"/>
          <w:b/>
          <w:bCs/>
          <w:rtl/>
        </w:rPr>
        <w:t xml:space="preserve"> </w:t>
      </w:r>
      <w:r>
        <w:rPr>
          <w:rtl/>
        </w:rPr>
        <w:t>–</w:t>
      </w:r>
      <w:r>
        <w:rPr>
          <w:rFonts w:hint="cs"/>
          <w:rtl/>
        </w:rPr>
        <w:t xml:space="preserve"> על אף גדרי מחלוקת מצומצמים-לכאורה ניהל הנאשם משפט ממושך, בהיקף ניכר, הן בשלב ההליכים המקדמיים והן בשלב שמיעת הראיות. בנוסף, על אף הבעת צער כללית לא נטל הנאשם אחריות מהותית על מעשיו, העלה גרסאות מופרכות ואף בשלב הטיעונים לעונש חזר </w:t>
      </w:r>
      <w:r w:rsidR="00F02050">
        <w:rPr>
          <w:rFonts w:hint="cs"/>
          <w:rtl/>
        </w:rPr>
        <w:t xml:space="preserve">ועמד </w:t>
      </w:r>
      <w:r>
        <w:rPr>
          <w:rFonts w:hint="cs"/>
          <w:rtl/>
        </w:rPr>
        <w:t xml:space="preserve">על הכחשתו. זוהי כמובן זכותו המלאה של הנאשם לנהוג כך, וכמעט אין צריך לומר כי זוהי זכות יסוד של כל נאשם לעמוד על ניהול משפטו במלואו </w:t>
      </w:r>
      <w:r w:rsidR="003D672C">
        <w:rPr>
          <w:rFonts w:ascii="Tahoma" w:hAnsi="Tahoma" w:hint="cs"/>
          <w:rtl/>
        </w:rPr>
        <w:t xml:space="preserve">וממילא אין לזקוף זאת לחובתו </w:t>
      </w:r>
      <w:r>
        <w:rPr>
          <w:rFonts w:ascii="Tahoma" w:hAnsi="Tahoma" w:hint="cs"/>
          <w:rtl/>
        </w:rPr>
        <w:t>(ור' גם בהוראות סעיף 40יא(6) סיפא לחוק העונשין). עם זאת, בנסיבות אלה אין לזקוף את חלוף הזמן לחובתה של המאשימה, הגם שיש ליתן משקל-מה לשיהוי שבהגשת כתב האישום.</w:t>
      </w:r>
    </w:p>
    <w:p w:rsidR="00F67479" w:rsidRDefault="00F67479" w:rsidP="006263A0">
      <w:pPr>
        <w:snapToGrid w:val="0"/>
        <w:spacing w:after="120" w:line="360" w:lineRule="auto"/>
        <w:ind w:left="720"/>
        <w:jc w:val="both"/>
        <w:rPr>
          <w:rtl/>
        </w:rPr>
      </w:pPr>
      <w:r w:rsidRPr="00627467">
        <w:rPr>
          <w:rFonts w:hint="cs"/>
          <w:b/>
          <w:bCs/>
          <w:rtl/>
        </w:rPr>
        <w:t xml:space="preserve">נתוניו האישיים של הנאשם ונסיבות חייו </w:t>
      </w:r>
      <w:r>
        <w:rPr>
          <w:rtl/>
        </w:rPr>
        <w:t>–</w:t>
      </w:r>
      <w:r>
        <w:rPr>
          <w:rFonts w:hint="cs"/>
          <w:rtl/>
        </w:rPr>
        <w:t xml:space="preserve"> הנאשם, כאמור יליד שנת 1993, גדל בנסיבות ייחודיות, כפי שפורט לעיל, ו</w:t>
      </w:r>
      <w:r w:rsidR="006263A0">
        <w:rPr>
          <w:rFonts w:hint="cs"/>
          <w:rtl/>
        </w:rPr>
        <w:t xml:space="preserve">לטענת </w:t>
      </w:r>
      <w:r>
        <w:rPr>
          <w:rFonts w:hint="cs"/>
          <w:rtl/>
        </w:rPr>
        <w:t>ההגנה גם ב</w:t>
      </w:r>
      <w:r w:rsidR="006263A0">
        <w:rPr>
          <w:rFonts w:hint="cs"/>
          <w:rtl/>
        </w:rPr>
        <w:t>תנאי עוני קשים</w:t>
      </w:r>
      <w:r>
        <w:rPr>
          <w:rFonts w:hint="cs"/>
          <w:rtl/>
        </w:rPr>
        <w:t xml:space="preserve">. עם זאת, לא מדובר </w:t>
      </w:r>
      <w:r w:rsidR="006263A0">
        <w:rPr>
          <w:rFonts w:hint="cs"/>
          <w:rtl/>
        </w:rPr>
        <w:t>בנסיבות יוצאות דופן במידה חריגה</w:t>
      </w:r>
      <w:r w:rsidR="00F02050">
        <w:rPr>
          <w:rFonts w:hint="cs"/>
          <w:rtl/>
        </w:rPr>
        <w:t xml:space="preserve"> המצדיקה</w:t>
      </w:r>
      <w:r>
        <w:rPr>
          <w:rFonts w:hint="cs"/>
          <w:rtl/>
        </w:rPr>
        <w:t xml:space="preserve"> הקלה בגזירת הדין. </w:t>
      </w:r>
    </w:p>
    <w:p w:rsidR="00F67479" w:rsidRDefault="00F67479" w:rsidP="00F02050">
      <w:pPr>
        <w:snapToGrid w:val="0"/>
        <w:spacing w:after="120" w:line="360" w:lineRule="auto"/>
        <w:ind w:left="720"/>
        <w:jc w:val="both"/>
        <w:rPr>
          <w:rFonts w:ascii="Tahoma" w:hAnsi="Tahoma"/>
          <w:rtl/>
        </w:rPr>
      </w:pPr>
      <w:r>
        <w:rPr>
          <w:rFonts w:hint="cs"/>
          <w:b/>
          <w:bCs/>
          <w:rtl/>
        </w:rPr>
        <w:t>התנהגות רשויות אכיפת החוק</w:t>
      </w:r>
      <w:r w:rsidRPr="00F67479">
        <w:rPr>
          <w:rFonts w:hint="cs"/>
          <w:rtl/>
        </w:rPr>
        <w:t xml:space="preserve"> – הסניגורית הלינה </w:t>
      </w:r>
      <w:r>
        <w:rPr>
          <w:rFonts w:hint="cs"/>
          <w:rtl/>
        </w:rPr>
        <w:t xml:space="preserve">מאוד </w:t>
      </w:r>
      <w:r w:rsidRPr="00F67479">
        <w:rPr>
          <w:rFonts w:hint="cs"/>
          <w:rtl/>
        </w:rPr>
        <w:t xml:space="preserve">על </w:t>
      </w:r>
      <w:r w:rsidR="00F02050">
        <w:rPr>
          <w:rFonts w:hint="cs"/>
          <w:rtl/>
        </w:rPr>
        <w:t>כך ש</w:t>
      </w:r>
      <w:r w:rsidRPr="00F67479">
        <w:rPr>
          <w:rFonts w:hint="cs"/>
          <w:rtl/>
        </w:rPr>
        <w:t xml:space="preserve">תיק </w:t>
      </w:r>
      <w:r w:rsidR="00F02050">
        <w:rPr>
          <w:rFonts w:hint="cs"/>
          <w:rtl/>
        </w:rPr>
        <w:t xml:space="preserve">זה נחקר </w:t>
      </w:r>
      <w:r w:rsidRPr="00F67479">
        <w:rPr>
          <w:rFonts w:hint="cs"/>
          <w:rtl/>
        </w:rPr>
        <w:t xml:space="preserve">בתחנת לב תל אביב, ובהכרעת הדין אמנם צוין </w:t>
      </w:r>
      <w:r w:rsidRPr="00F67479">
        <w:rPr>
          <w:rFonts w:ascii="Tahoma" w:hAnsi="Tahoma"/>
          <w:rtl/>
        </w:rPr>
        <w:t xml:space="preserve">כי </w:t>
      </w:r>
      <w:r>
        <w:rPr>
          <w:rFonts w:ascii="Tahoma" w:hAnsi="Tahoma"/>
          <w:rtl/>
        </w:rPr>
        <w:t xml:space="preserve">עקרונית מוטב שחקירה בחשד לעבירות נגד שוטרים לא תתנהל בתחנה בה משרתים אותם </w:t>
      </w:r>
      <w:r>
        <w:rPr>
          <w:rFonts w:ascii="Tahoma" w:hAnsi="Tahoma" w:hint="cs"/>
          <w:rtl/>
        </w:rPr>
        <w:t>ה</w:t>
      </w:r>
      <w:r>
        <w:rPr>
          <w:rFonts w:ascii="Tahoma" w:hAnsi="Tahoma"/>
          <w:rtl/>
        </w:rPr>
        <w:t>שוטרים. עם זאת נקבע</w:t>
      </w:r>
      <w:r>
        <w:rPr>
          <w:rFonts w:ascii="Tahoma" w:hAnsi="Tahoma" w:hint="cs"/>
          <w:rtl/>
        </w:rPr>
        <w:t xml:space="preserve">, כאמור, </w:t>
      </w:r>
      <w:r w:rsidR="006263A0">
        <w:rPr>
          <w:rFonts w:ascii="Tahoma" w:hAnsi="Tahoma"/>
          <w:rtl/>
        </w:rPr>
        <w:t>כי במקרה הקונקרטי דנא</w:t>
      </w:r>
      <w:r>
        <w:rPr>
          <w:rFonts w:ascii="Tahoma" w:hAnsi="Tahoma"/>
          <w:rtl/>
        </w:rPr>
        <w:t xml:space="preserve"> </w:t>
      </w:r>
      <w:r w:rsidR="006263A0">
        <w:rPr>
          <w:rFonts w:ascii="Tahoma" w:hAnsi="Tahoma" w:hint="cs"/>
          <w:rtl/>
        </w:rPr>
        <w:t>החקירה ש</w:t>
      </w:r>
      <w:r>
        <w:rPr>
          <w:rFonts w:ascii="Tahoma" w:hAnsi="Tahoma" w:hint="cs"/>
          <w:rtl/>
        </w:rPr>
        <w:t xml:space="preserve">נערכה </w:t>
      </w:r>
      <w:r w:rsidR="006263A0">
        <w:rPr>
          <w:rFonts w:ascii="Tahoma" w:hAnsi="Tahoma" w:hint="cs"/>
          <w:rtl/>
        </w:rPr>
        <w:t xml:space="preserve">היתה </w:t>
      </w:r>
      <w:r>
        <w:rPr>
          <w:rFonts w:ascii="Tahoma" w:hAnsi="Tahoma" w:hint="cs"/>
          <w:rtl/>
        </w:rPr>
        <w:t xml:space="preserve">חקירה מקצועית, </w:t>
      </w:r>
      <w:r>
        <w:rPr>
          <w:rFonts w:ascii="Tahoma" w:hAnsi="Tahoma"/>
          <w:rtl/>
        </w:rPr>
        <w:t>בגדרי הסביר</w:t>
      </w:r>
      <w:r w:rsidR="006263A0">
        <w:rPr>
          <w:rFonts w:ascii="Tahoma" w:hAnsi="Tahoma" w:hint="cs"/>
          <w:rtl/>
        </w:rPr>
        <w:t xml:space="preserve"> וכדין. בנסיבות אלה</w:t>
      </w:r>
      <w:r>
        <w:rPr>
          <w:rFonts w:ascii="Tahoma" w:hAnsi="Tahoma" w:hint="cs"/>
          <w:rtl/>
        </w:rPr>
        <w:t xml:space="preserve"> אין ליתן לחקירת התיק כאמור משקל רב ל</w:t>
      </w:r>
      <w:r w:rsidR="000E3B1B">
        <w:rPr>
          <w:rFonts w:ascii="Tahoma" w:hAnsi="Tahoma" w:hint="cs"/>
          <w:rtl/>
        </w:rPr>
        <w:t xml:space="preserve">כף </w:t>
      </w:r>
      <w:r>
        <w:rPr>
          <w:rFonts w:ascii="Tahoma" w:hAnsi="Tahoma" w:hint="cs"/>
          <w:rtl/>
        </w:rPr>
        <w:t>קולה.</w:t>
      </w:r>
    </w:p>
    <w:p w:rsidR="00D03A22" w:rsidRDefault="000D22AA" w:rsidP="003D672C">
      <w:pPr>
        <w:numPr>
          <w:ilvl w:val="0"/>
          <w:numId w:val="4"/>
        </w:numPr>
        <w:spacing w:after="120" w:line="360" w:lineRule="auto"/>
        <w:ind w:left="360"/>
        <w:jc w:val="both"/>
        <w:rPr>
          <w:rFonts w:ascii="Tahoma" w:hAnsi="Tahoma"/>
        </w:rPr>
      </w:pPr>
      <w:r>
        <w:rPr>
          <w:rFonts w:hint="cs"/>
          <w:rtl/>
        </w:rPr>
        <w:t>מכלול הנסיבות והשיקולים שפורטו לעיל מ</w:t>
      </w:r>
      <w:r w:rsidR="00F67479">
        <w:rPr>
          <w:rFonts w:hint="cs"/>
          <w:rtl/>
        </w:rPr>
        <w:t xml:space="preserve">עלה אפוא תמונה מורכבת, הכוללת שיקולים נוגדים. המסקנה המתבקשת מכך </w:t>
      </w:r>
      <w:r w:rsidR="00F67479">
        <w:rPr>
          <w:rtl/>
        </w:rPr>
        <w:t>–</w:t>
      </w:r>
      <w:r w:rsidR="00F67479">
        <w:rPr>
          <w:rFonts w:hint="cs"/>
          <w:rtl/>
        </w:rPr>
        <w:t xml:space="preserve"> אם גם תוך מתן משקל מוגבר-משהו לנסיבות הקולה </w:t>
      </w:r>
      <w:r w:rsidR="00F67479">
        <w:rPr>
          <w:rtl/>
        </w:rPr>
        <w:t>–</w:t>
      </w:r>
      <w:r w:rsidR="00F67479">
        <w:rPr>
          <w:rFonts w:hint="cs"/>
          <w:rtl/>
        </w:rPr>
        <w:t xml:space="preserve"> הוא כי כפות המאזניים מעוינות, ועל כן יש לגזור את עונשו של הנאשם במחצית מתחם העונש ההולם.</w:t>
      </w:r>
      <w:r w:rsidR="00D03A22">
        <w:rPr>
          <w:rFonts w:hint="cs"/>
          <w:rtl/>
        </w:rPr>
        <w:t xml:space="preserve"> נוכח הפגיעה במתלונן ונסיבותיה יש גם לפסוק פיצויים הולמים</w:t>
      </w:r>
      <w:r w:rsidR="003D672C" w:rsidRPr="003D672C">
        <w:rPr>
          <w:rFonts w:hint="cs"/>
          <w:rtl/>
        </w:rPr>
        <w:t xml:space="preserve"> </w:t>
      </w:r>
      <w:r w:rsidR="003D672C">
        <w:rPr>
          <w:rFonts w:hint="cs"/>
          <w:rtl/>
        </w:rPr>
        <w:t>לטובתו</w:t>
      </w:r>
      <w:r w:rsidR="00D03A22">
        <w:rPr>
          <w:rFonts w:hint="cs"/>
          <w:rtl/>
        </w:rPr>
        <w:t>.</w:t>
      </w:r>
    </w:p>
    <w:p w:rsidR="00D03A22" w:rsidRPr="003D672C" w:rsidRDefault="00D03A22" w:rsidP="00D03A22">
      <w:pPr>
        <w:spacing w:after="120" w:line="360" w:lineRule="auto"/>
        <w:jc w:val="both"/>
        <w:rPr>
          <w:rFonts w:ascii="Tahoma" w:hAnsi="Tahoma"/>
          <w:rtl/>
        </w:rPr>
      </w:pPr>
    </w:p>
    <w:p w:rsidR="00D03A22" w:rsidRPr="00D03A22" w:rsidRDefault="00D03A22" w:rsidP="00D03A22">
      <w:pPr>
        <w:pStyle w:val="aa"/>
        <w:numPr>
          <w:ilvl w:val="0"/>
          <w:numId w:val="3"/>
        </w:numPr>
        <w:snapToGrid w:val="0"/>
        <w:spacing w:after="120" w:line="360" w:lineRule="auto"/>
        <w:ind w:left="360"/>
        <w:jc w:val="both"/>
        <w:rPr>
          <w:b/>
          <w:bCs/>
          <w:u w:val="single"/>
          <w:rtl/>
        </w:rPr>
      </w:pPr>
      <w:r w:rsidRPr="00D03A22">
        <w:rPr>
          <w:rFonts w:hint="cs"/>
          <w:b/>
          <w:bCs/>
          <w:u w:val="single"/>
          <w:rtl/>
        </w:rPr>
        <w:t>סוף דבר:</w:t>
      </w:r>
    </w:p>
    <w:p w:rsidR="000D22AA" w:rsidRPr="00F02050" w:rsidRDefault="000D22AA" w:rsidP="00D03A22">
      <w:pPr>
        <w:numPr>
          <w:ilvl w:val="0"/>
          <w:numId w:val="4"/>
        </w:numPr>
        <w:spacing w:after="120" w:line="360" w:lineRule="auto"/>
        <w:ind w:left="360"/>
        <w:jc w:val="both"/>
        <w:rPr>
          <w:rFonts w:ascii="Tahoma" w:hAnsi="Tahoma"/>
        </w:rPr>
      </w:pPr>
      <w:r>
        <w:rPr>
          <w:rFonts w:hint="cs"/>
          <w:rtl/>
        </w:rPr>
        <w:t xml:space="preserve">אשר על כן </w:t>
      </w:r>
      <w:r>
        <w:rPr>
          <w:rtl/>
        </w:rPr>
        <w:t>–</w:t>
      </w:r>
      <w:r>
        <w:rPr>
          <w:rFonts w:hint="cs"/>
          <w:rtl/>
        </w:rPr>
        <w:t xml:space="preserve"> ובהתחשב בשיקולים לכף חומרה ולכף קולה, אשר פורטו לעיל </w:t>
      </w:r>
      <w:r>
        <w:rPr>
          <w:rtl/>
        </w:rPr>
        <w:t>–</w:t>
      </w:r>
      <w:r>
        <w:rPr>
          <w:rFonts w:hint="cs"/>
          <w:rtl/>
        </w:rPr>
        <w:t xml:space="preserve"> אני גוזר על הנאשם את העונשים הבאים:</w:t>
      </w:r>
    </w:p>
    <w:p w:rsidR="000D22AA" w:rsidRDefault="000D22AA" w:rsidP="00406479">
      <w:pPr>
        <w:spacing w:after="120" w:line="360" w:lineRule="auto"/>
        <w:ind w:left="360"/>
        <w:jc w:val="both"/>
        <w:rPr>
          <w:rFonts w:ascii="Tahoma" w:hAnsi="Tahoma"/>
          <w:rtl/>
        </w:rPr>
      </w:pPr>
      <w:r>
        <w:rPr>
          <w:rFonts w:hint="cs"/>
          <w:rtl/>
        </w:rPr>
        <w:t>(א)</w:t>
      </w:r>
      <w:r>
        <w:rPr>
          <w:rtl/>
        </w:rPr>
        <w:tab/>
      </w:r>
      <w:r w:rsidR="005D70E0">
        <w:rPr>
          <w:rFonts w:hint="cs"/>
          <w:rtl/>
        </w:rPr>
        <w:t xml:space="preserve">11 </w:t>
      </w:r>
      <w:r>
        <w:rPr>
          <w:rFonts w:hint="cs"/>
          <w:rtl/>
        </w:rPr>
        <w:t>חודשי מאסר בפועל, בניכוי ימי מעצרו בהתאם לרישומי שירות בתי הסוהר.</w:t>
      </w:r>
    </w:p>
    <w:p w:rsidR="000D22AA" w:rsidRDefault="000D22AA" w:rsidP="00406479">
      <w:pPr>
        <w:spacing w:after="120" w:line="360" w:lineRule="auto"/>
        <w:ind w:left="720"/>
        <w:jc w:val="both"/>
        <w:rPr>
          <w:rFonts w:ascii="Tahoma" w:hAnsi="Tahoma"/>
        </w:rPr>
      </w:pPr>
      <w:r>
        <w:rPr>
          <w:rFonts w:ascii="Tahoma" w:hAnsi="Tahoma" w:hint="cs"/>
          <w:rtl/>
        </w:rPr>
        <w:lastRenderedPageBreak/>
        <w:t xml:space="preserve">על הנאשם להתייצב לנשיאת עונשו בבית המעצר ניצן, או במקום אחר שייקבע שירות בתי הסוהר, ביום </w:t>
      </w:r>
      <w:r w:rsidR="005D70E0">
        <w:rPr>
          <w:rFonts w:ascii="Tahoma" w:hAnsi="Tahoma" w:hint="cs"/>
          <w:rtl/>
        </w:rPr>
        <w:t>23.07.2023</w:t>
      </w:r>
      <w:r>
        <w:rPr>
          <w:rFonts w:ascii="Tahoma" w:hAnsi="Tahoma" w:hint="cs"/>
          <w:rtl/>
        </w:rPr>
        <w:t xml:space="preserve"> עד השעה 10:00.</w:t>
      </w:r>
    </w:p>
    <w:p w:rsidR="00406479" w:rsidRDefault="005D70E0" w:rsidP="00406479">
      <w:pPr>
        <w:spacing w:after="120" w:line="360" w:lineRule="auto"/>
        <w:ind w:left="720"/>
        <w:jc w:val="both"/>
        <w:rPr>
          <w:rFonts w:ascii="Tahoma" w:hAnsi="Tahoma"/>
          <w:rtl/>
        </w:rPr>
      </w:pPr>
      <w:r>
        <w:rPr>
          <w:rFonts w:ascii="Tahoma" w:hAnsi="Tahoma" w:hint="cs"/>
          <w:rtl/>
        </w:rPr>
        <w:t>ב"כ הנאשם ת</w:t>
      </w:r>
      <w:r w:rsidR="000D22AA">
        <w:rPr>
          <w:rFonts w:ascii="Tahoma" w:hAnsi="Tahoma" w:hint="cs"/>
          <w:rtl/>
        </w:rPr>
        <w:t xml:space="preserve">תאם את הכניסה למאסר עם </w:t>
      </w:r>
      <w:r w:rsidR="000D22AA">
        <w:rPr>
          <w:rFonts w:hint="cs"/>
          <w:rtl/>
        </w:rPr>
        <w:t>ענף אבחון ומיון של</w:t>
      </w:r>
      <w:r w:rsidR="000D22AA">
        <w:rPr>
          <w:rFonts w:ascii="Tahoma" w:hAnsi="Tahoma" w:hint="cs"/>
          <w:rtl/>
        </w:rPr>
        <w:t xml:space="preserve"> שירות בתי הסוהר, על מנת להבטיח עריכת "מיון מוקדם" לנאשם אשר יקל על קליטתו בבית הסוהר.</w:t>
      </w:r>
    </w:p>
    <w:p w:rsidR="000D22AA" w:rsidRDefault="005D70E0" w:rsidP="00406479">
      <w:pPr>
        <w:spacing w:after="120" w:line="360" w:lineRule="auto"/>
        <w:ind w:left="720" w:hanging="360"/>
        <w:jc w:val="both"/>
        <w:rPr>
          <w:rFonts w:ascii="Tahoma" w:hAnsi="Tahoma"/>
        </w:rPr>
      </w:pPr>
      <w:r>
        <w:rPr>
          <w:rFonts w:hint="cs"/>
          <w:rtl/>
        </w:rPr>
        <w:t>(ב</w:t>
      </w:r>
      <w:r w:rsidR="000D22AA">
        <w:rPr>
          <w:rFonts w:hint="cs"/>
          <w:rtl/>
        </w:rPr>
        <w:t>)</w:t>
      </w:r>
      <w:r w:rsidR="00406479">
        <w:rPr>
          <w:rtl/>
        </w:rPr>
        <w:tab/>
      </w:r>
      <w:r w:rsidR="000D22AA">
        <w:rPr>
          <w:rFonts w:hint="cs"/>
          <w:rtl/>
        </w:rPr>
        <w:t xml:space="preserve">מאסר על תנאי למשך </w:t>
      </w:r>
      <w:r>
        <w:rPr>
          <w:rFonts w:hint="cs"/>
          <w:rtl/>
        </w:rPr>
        <w:t>6</w:t>
      </w:r>
      <w:r w:rsidR="000D22AA">
        <w:rPr>
          <w:rFonts w:hint="cs"/>
          <w:rtl/>
        </w:rPr>
        <w:t xml:space="preserve"> חודשים, אותו לא יישא הנאשם אלא אם כן יעבור, תוך שלוש שנים מיום שחרורו מן המאסר, </w:t>
      </w:r>
      <w:r>
        <w:rPr>
          <w:rFonts w:hint="cs"/>
          <w:rtl/>
        </w:rPr>
        <w:t>עבירה של תקיפת שוטר מכל סוג שהוא.</w:t>
      </w:r>
      <w:r w:rsidR="000D22AA">
        <w:rPr>
          <w:rFonts w:hint="cs"/>
          <w:rtl/>
        </w:rPr>
        <w:t xml:space="preserve"> </w:t>
      </w:r>
    </w:p>
    <w:p w:rsidR="000D22AA" w:rsidRPr="00E0628E" w:rsidRDefault="005D70E0" w:rsidP="00406479">
      <w:pPr>
        <w:spacing w:after="120" w:line="360" w:lineRule="auto"/>
        <w:ind w:left="360"/>
        <w:jc w:val="both"/>
        <w:rPr>
          <w:rFonts w:ascii="Tahoma" w:hAnsi="Tahoma"/>
        </w:rPr>
      </w:pPr>
      <w:r>
        <w:rPr>
          <w:rFonts w:hint="cs"/>
          <w:rtl/>
        </w:rPr>
        <w:t>(ג</w:t>
      </w:r>
      <w:r w:rsidR="000D22AA">
        <w:rPr>
          <w:rFonts w:hint="cs"/>
          <w:rtl/>
        </w:rPr>
        <w:t>)</w:t>
      </w:r>
      <w:r w:rsidR="000D22AA">
        <w:rPr>
          <w:rtl/>
        </w:rPr>
        <w:tab/>
      </w:r>
      <w:r w:rsidR="000D22AA">
        <w:rPr>
          <w:rFonts w:hint="cs"/>
          <w:rtl/>
        </w:rPr>
        <w:t xml:space="preserve">קנס בסך של </w:t>
      </w:r>
      <w:r>
        <w:rPr>
          <w:rFonts w:hint="cs"/>
          <w:rtl/>
        </w:rPr>
        <w:t>1,000</w:t>
      </w:r>
      <w:r w:rsidR="000D22AA">
        <w:rPr>
          <w:rFonts w:hint="cs"/>
          <w:rtl/>
        </w:rPr>
        <w:t xml:space="preserve"> ₪, או </w:t>
      </w:r>
      <w:r>
        <w:rPr>
          <w:rFonts w:hint="cs"/>
          <w:rtl/>
        </w:rPr>
        <w:t>5</w:t>
      </w:r>
      <w:r w:rsidR="000D22AA">
        <w:rPr>
          <w:rFonts w:hint="cs"/>
          <w:rtl/>
        </w:rPr>
        <w:t xml:space="preserve"> ימי מאסר תמורתו.</w:t>
      </w:r>
    </w:p>
    <w:p w:rsidR="00406479" w:rsidRDefault="005D70E0" w:rsidP="00406479">
      <w:pPr>
        <w:spacing w:after="120" w:line="360" w:lineRule="auto"/>
        <w:ind w:left="720"/>
        <w:jc w:val="both"/>
        <w:rPr>
          <w:rtl/>
        </w:rPr>
      </w:pPr>
      <w:r>
        <w:rPr>
          <w:rFonts w:hint="cs"/>
          <w:rtl/>
        </w:rPr>
        <w:t>הקנס ישולם בשני</w:t>
      </w:r>
      <w:r w:rsidR="000D22AA">
        <w:rPr>
          <w:rFonts w:hint="cs"/>
          <w:rtl/>
        </w:rPr>
        <w:t xml:space="preserve"> תשלומים חודשיים, שווים ורצופים, החל מיום </w:t>
      </w:r>
      <w:r>
        <w:rPr>
          <w:rFonts w:hint="cs"/>
          <w:rtl/>
        </w:rPr>
        <w:t>01.09.2023</w:t>
      </w:r>
      <w:r w:rsidR="000D22AA">
        <w:rPr>
          <w:rFonts w:hint="cs"/>
          <w:rtl/>
        </w:rPr>
        <w:t xml:space="preserve"> ובכל אחד בחודש שלאחריו. היה והנאשם לא ישלם את אחד התשלומים במועד תועמד כל יתרת הקנס לפירעון מידי.</w:t>
      </w:r>
    </w:p>
    <w:p w:rsidR="000D22AA" w:rsidRPr="00406479" w:rsidRDefault="00406479" w:rsidP="00406479">
      <w:pPr>
        <w:spacing w:after="120" w:line="360" w:lineRule="auto"/>
        <w:ind w:left="720" w:hanging="360"/>
        <w:jc w:val="both"/>
        <w:rPr>
          <w:rFonts w:ascii="Tahoma" w:hAnsi="Tahoma"/>
          <w:rtl/>
        </w:rPr>
      </w:pPr>
      <w:r>
        <w:rPr>
          <w:rFonts w:hint="cs"/>
          <w:rtl/>
        </w:rPr>
        <w:t>(ד)</w:t>
      </w:r>
      <w:r>
        <w:rPr>
          <w:rtl/>
        </w:rPr>
        <w:tab/>
      </w:r>
      <w:r w:rsidR="005D70E0">
        <w:rPr>
          <w:rFonts w:hint="cs"/>
          <w:rtl/>
        </w:rPr>
        <w:t>פיצויים למתלונן</w:t>
      </w:r>
      <w:r>
        <w:rPr>
          <w:rFonts w:hint="cs"/>
          <w:rtl/>
        </w:rPr>
        <w:t>, עד</w:t>
      </w:r>
      <w:r w:rsidR="000D22AA">
        <w:rPr>
          <w:rFonts w:hint="cs"/>
          <w:rtl/>
        </w:rPr>
        <w:t xml:space="preserve"> תביעה מס' </w:t>
      </w:r>
      <w:r>
        <w:rPr>
          <w:rFonts w:hint="cs"/>
          <w:rtl/>
        </w:rPr>
        <w:t>1</w:t>
      </w:r>
      <w:r w:rsidR="000D22AA">
        <w:rPr>
          <w:rFonts w:hint="cs"/>
          <w:rtl/>
        </w:rPr>
        <w:t xml:space="preserve">, בסך של </w:t>
      </w:r>
      <w:r>
        <w:rPr>
          <w:rFonts w:hint="cs"/>
          <w:rtl/>
        </w:rPr>
        <w:t>5,000</w:t>
      </w:r>
      <w:r w:rsidR="000D22AA">
        <w:rPr>
          <w:rFonts w:hint="cs"/>
          <w:rtl/>
        </w:rPr>
        <w:t xml:space="preserve"> ₪.</w:t>
      </w:r>
    </w:p>
    <w:p w:rsidR="000D22AA" w:rsidRDefault="000D22AA" w:rsidP="00406479">
      <w:pPr>
        <w:spacing w:after="120" w:line="360" w:lineRule="auto"/>
        <w:ind w:left="720"/>
        <w:jc w:val="both"/>
        <w:rPr>
          <w:rFonts w:ascii="Tahoma" w:hAnsi="Tahoma"/>
        </w:rPr>
      </w:pPr>
      <w:r>
        <w:rPr>
          <w:rFonts w:hint="cs"/>
          <w:rtl/>
        </w:rPr>
        <w:t>הפיצויים ישולמו ב-</w:t>
      </w:r>
      <w:r w:rsidR="00406479">
        <w:rPr>
          <w:rFonts w:hint="cs"/>
          <w:rtl/>
        </w:rPr>
        <w:t>10</w:t>
      </w:r>
      <w:r>
        <w:rPr>
          <w:rFonts w:hint="cs"/>
          <w:rtl/>
        </w:rPr>
        <w:t xml:space="preserve"> תשלומים חודשיים, שווים ורצופים, החל מיום </w:t>
      </w:r>
      <w:r w:rsidR="00406479">
        <w:rPr>
          <w:rFonts w:hint="cs"/>
          <w:rtl/>
        </w:rPr>
        <w:t>01.11.2023</w:t>
      </w:r>
      <w:r>
        <w:rPr>
          <w:rFonts w:hint="cs"/>
          <w:rtl/>
        </w:rPr>
        <w:t xml:space="preserve"> ובכל אחד בחודש שלאחריו. היה והנאשם לא ישלם את אחד התשלומים במועד תועמד כל יתרת הפיצויים לפירעון מידי.</w:t>
      </w:r>
    </w:p>
    <w:p w:rsidR="000D22AA" w:rsidRDefault="000D22AA" w:rsidP="00406479">
      <w:pPr>
        <w:spacing w:after="120" w:line="360" w:lineRule="auto"/>
        <w:ind w:left="720" w:hanging="720"/>
        <w:jc w:val="both"/>
        <w:rPr>
          <w:rFonts w:ascii="Tahoma" w:hAnsi="Tahoma"/>
        </w:rPr>
      </w:pPr>
      <w:r>
        <w:rPr>
          <w:rFonts w:ascii="Tahoma" w:hAnsi="Tahoma"/>
          <w:rtl/>
        </w:rPr>
        <w:tab/>
      </w:r>
      <w:r>
        <w:rPr>
          <w:rFonts w:ascii="Tahoma" w:hAnsi="Tahoma" w:hint="cs"/>
          <w:rtl/>
        </w:rPr>
        <w:t>באחריות ב"כ המאשימה להגיש הודעה למזכי</w:t>
      </w:r>
      <w:r w:rsidR="00406479">
        <w:rPr>
          <w:rFonts w:ascii="Tahoma" w:hAnsi="Tahoma" w:hint="cs"/>
          <w:rtl/>
        </w:rPr>
        <w:t>רות בית המשפט בדבר פרטי המתלונן</w:t>
      </w:r>
      <w:r>
        <w:rPr>
          <w:rFonts w:ascii="Tahoma" w:hAnsi="Tahoma" w:hint="cs"/>
          <w:rtl/>
        </w:rPr>
        <w:t>, לצורך העברת הפיצויים.</w:t>
      </w:r>
    </w:p>
    <w:p w:rsidR="000D22AA" w:rsidRDefault="000D22AA" w:rsidP="00406479">
      <w:pPr>
        <w:spacing w:after="120" w:line="360" w:lineRule="auto"/>
        <w:jc w:val="both"/>
        <w:rPr>
          <w:rtl/>
        </w:rPr>
      </w:pPr>
      <w:r w:rsidRPr="00BF022E">
        <w:rPr>
          <w:rtl/>
        </w:rPr>
        <w:t>ככל ש</w:t>
      </w:r>
      <w:r>
        <w:rPr>
          <w:rFonts w:hint="cs"/>
          <w:rtl/>
        </w:rPr>
        <w:t xml:space="preserve">נותר בתיק בית המשפט </w:t>
      </w:r>
      <w:r>
        <w:rPr>
          <w:rtl/>
        </w:rPr>
        <w:t>–</w:t>
      </w:r>
      <w:r>
        <w:rPr>
          <w:rFonts w:hint="cs"/>
          <w:rtl/>
        </w:rPr>
        <w:t xml:space="preserve"> או בתיקים קשורים </w:t>
      </w:r>
      <w:r>
        <w:rPr>
          <w:rtl/>
        </w:rPr>
        <w:t>–</w:t>
      </w:r>
      <w:r>
        <w:rPr>
          <w:rFonts w:hint="cs"/>
          <w:rtl/>
        </w:rPr>
        <w:t xml:space="preserve"> פיקדון שהופקד מטעם הנאשם, בהסכמת ההגנה יקוזז הפיקדון לתשלום הפיצויים.</w:t>
      </w:r>
    </w:p>
    <w:p w:rsidR="000D22AA" w:rsidRDefault="000D22AA" w:rsidP="005D5EEA">
      <w:pPr>
        <w:spacing w:after="120" w:line="360" w:lineRule="auto"/>
        <w:jc w:val="both"/>
        <w:rPr>
          <w:rtl/>
        </w:rPr>
      </w:pPr>
      <w:r>
        <w:rPr>
          <w:rFonts w:hint="cs"/>
          <w:rtl/>
        </w:rPr>
        <w:t xml:space="preserve">ניתן בזה צו כללי, לעניין מוצגים, לשיקול דעתו של קצין משטרה. </w:t>
      </w:r>
    </w:p>
    <w:p w:rsidR="000D22AA" w:rsidRDefault="000D22AA" w:rsidP="009B0C25">
      <w:pPr>
        <w:snapToGrid w:val="0"/>
        <w:spacing w:after="120" w:line="360" w:lineRule="auto"/>
        <w:jc w:val="both"/>
        <w:rPr>
          <w:rtl/>
        </w:rPr>
      </w:pPr>
      <w:r>
        <w:rPr>
          <w:rFonts w:hint="cs"/>
          <w:rtl/>
        </w:rPr>
        <w:t>זכות ערעור בתוך 45 יום מהיום.</w:t>
      </w:r>
    </w:p>
    <w:p w:rsidR="00507694" w:rsidRPr="00250B83" w:rsidRDefault="009E4024">
      <w:pPr>
        <w:spacing w:line="360" w:lineRule="auto"/>
        <w:jc w:val="both"/>
        <w:rPr>
          <w:rFonts w:ascii="Arial" w:hAnsi="Arial"/>
        </w:rPr>
      </w:pPr>
      <w:r>
        <w:rPr>
          <w:rFonts w:ascii="Arial" w:hAnsi="Arial"/>
          <w:rtl/>
        </w:rPr>
        <w:t>ניתן היום,</w:t>
      </w:r>
      <w:r w:rsidR="00684E84" w:rsidRPr="00250B83">
        <w:rPr>
          <w:rFonts w:ascii="Arial" w:hAnsi="Arial"/>
          <w:rtl/>
        </w:rPr>
        <w:t xml:space="preserve"> </w:t>
      </w:r>
      <w:sdt>
        <w:sdtPr>
          <w:rPr>
            <w:rtl/>
          </w:rPr>
          <w:alias w:val="1455"/>
          <w:tag w:val="1455"/>
          <w:id w:val="-750497047"/>
          <w:text w:multiLine="1"/>
        </w:sdtPr>
        <w:sdtEndPr/>
        <w:sdtContent>
          <w:r>
            <w:rPr>
              <w:rFonts w:ascii="Arial" w:hAnsi="Arial"/>
              <w:rtl/>
            </w:rPr>
            <w:t>י"ז סיוון תשפ"ג</w:t>
          </w:r>
        </w:sdtContent>
      </w:sdt>
      <w:r w:rsidR="00684E84" w:rsidRPr="00250B83">
        <w:rPr>
          <w:rFonts w:ascii="Arial" w:hAnsi="Arial"/>
          <w:rtl/>
        </w:rPr>
        <w:t xml:space="preserve">, </w:t>
      </w:r>
      <w:sdt>
        <w:sdtPr>
          <w:rPr>
            <w:rtl/>
          </w:rPr>
          <w:alias w:val="1456"/>
          <w:tag w:val="1456"/>
          <w:id w:val="367718347"/>
          <w:text w:multiLine="1"/>
        </w:sdtPr>
        <w:sdtEndPr/>
        <w:sdtContent>
          <w:r>
            <w:rPr>
              <w:rFonts w:ascii="Arial" w:hAnsi="Arial"/>
              <w:rtl/>
            </w:rPr>
            <w:t>06 יוני 2023</w:t>
          </w:r>
        </w:sdtContent>
      </w:sdt>
      <w:r>
        <w:rPr>
          <w:rFonts w:ascii="Arial" w:hAnsi="Arial"/>
          <w:rtl/>
        </w:rPr>
        <w:t>, ב</w:t>
      </w:r>
      <w:r>
        <w:rPr>
          <w:rFonts w:ascii="Arial" w:hAnsi="Arial" w:hint="cs"/>
          <w:rtl/>
        </w:rPr>
        <w:t>מעמד</w:t>
      </w:r>
      <w:r w:rsidR="00684E84" w:rsidRPr="00250B83">
        <w:rPr>
          <w:rFonts w:ascii="Arial" w:hAnsi="Arial"/>
          <w:rtl/>
        </w:rPr>
        <w:t xml:space="preserve"> הצדדים.</w:t>
      </w:r>
    </w:p>
    <w:p w:rsidR="00507694" w:rsidRPr="00250B83" w:rsidRDefault="00507694">
      <w:pPr>
        <w:rPr>
          <w:rtl/>
        </w:rPr>
      </w:pPr>
    </w:p>
    <w:p w:rsidR="00507694" w:rsidRPr="00250B83" w:rsidRDefault="003E0C9F" w:rsidP="003E0C9F">
      <w:pPr>
        <w:jc w:val="center"/>
      </w:pPr>
      <w:r w:rsidRPr="00250B83">
        <w:rPr>
          <w:rFonts w:hint="cs"/>
          <w:rtl/>
        </w:rPr>
        <w:t xml:space="preserve">   </w:t>
      </w:r>
      <w:r w:rsidRPr="00250B83">
        <w:rPr>
          <w:rFonts w:hint="cs"/>
          <w:rtl/>
        </w:rPr>
        <w:tab/>
      </w:r>
      <w:r w:rsidRPr="00250B83">
        <w:rPr>
          <w:rFonts w:hint="cs"/>
          <w:rtl/>
        </w:rPr>
        <w:tab/>
      </w:r>
      <w:r w:rsidRPr="00250B83">
        <w:rPr>
          <w:rFonts w:hint="cs"/>
          <w:rtl/>
        </w:rPr>
        <w:tab/>
      </w:r>
      <w:r w:rsidRPr="00250B83">
        <w:rPr>
          <w:rFonts w:hint="cs"/>
          <w:rtl/>
        </w:rPr>
        <w:tab/>
      </w:r>
      <w:r w:rsidRPr="00250B83">
        <w:rPr>
          <w:rFonts w:hint="cs"/>
          <w:rtl/>
        </w:rPr>
        <w:tab/>
      </w:r>
      <w:sdt>
        <w:sdtPr>
          <w:rPr>
            <w:rtl/>
          </w:rPr>
          <w:alias w:val="MergeField"/>
          <w:tag w:val="1237"/>
          <w:id w:val="-1433742540"/>
        </w:sdtPr>
        <w:sdtEndPr/>
        <w:sdtContent>
          <w:r w:rsidR="001B4C78">
            <w:rPr>
              <w:noProof/>
            </w:rPr>
            <w:drawing>
              <wp:inline distT="0" distB="0" distL="0" distR="0" wp14:editId="50D07946">
                <wp:extent cx="1457325"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457325" cy="685800"/>
                        </a:xfrm>
                        <a:prstGeom prst="rect">
                          <a:avLst/>
                        </a:prstGeom>
                      </pic:spPr>
                    </pic:pic>
                  </a:graphicData>
                </a:graphic>
              </wp:inline>
            </w:drawing>
          </w:r>
        </w:sdtContent>
      </w:sdt>
    </w:p>
    <w:p w:rsidR="00507694" w:rsidRPr="00250B83" w:rsidRDefault="00507694" w:rsidP="003E0C9F">
      <w:pPr>
        <w:jc w:val="center"/>
        <w:rPr>
          <w:rFonts w:ascii="Arial" w:hAnsi="Arial"/>
          <w:rtl/>
        </w:rPr>
      </w:pPr>
    </w:p>
    <w:p w:rsidR="00507694" w:rsidRPr="00250B83" w:rsidRDefault="00507694">
      <w:pPr>
        <w:rPr>
          <w:rtl/>
        </w:rPr>
      </w:pPr>
    </w:p>
    <w:p w:rsidR="00507694" w:rsidRDefault="00507694">
      <w:pPr>
        <w:pStyle w:val="a3"/>
        <w:jc w:val="center"/>
        <w:rPr>
          <w:rtl/>
        </w:rPr>
      </w:pPr>
    </w:p>
    <w:sectPr w:rsidR="00507694" w:rsidSect="00A87018">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5C4" w:rsidRDefault="00DF45C4">
      <w:r>
        <w:separator/>
      </w:r>
    </w:p>
  </w:endnote>
  <w:endnote w:type="continuationSeparator" w:id="0">
    <w:p w:rsidR="00DF45C4" w:rsidRDefault="00DF4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W1)">
    <w:altName w:val="Times New Roman"/>
    <w:charset w:val="00"/>
    <w:family w:val="roman"/>
    <w:pitch w:val="variable"/>
    <w:sig w:usb0="20007A87" w:usb1="80000000" w:usb2="00000008"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D83716">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D83716">
      <w:rPr>
        <w:noProof/>
        <w:rtl/>
      </w:rPr>
      <w:t>9</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716" w:rsidRDefault="00D8371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5C4" w:rsidRDefault="00DF45C4">
      <w:r>
        <w:separator/>
      </w:r>
    </w:p>
  </w:footnote>
  <w:footnote w:type="continuationSeparator" w:id="0">
    <w:p w:rsidR="00DF45C4" w:rsidRDefault="00DF4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716" w:rsidRDefault="00D8371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230C99C8" wp14:editId="35745F41">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27"/>
      <w:gridCol w:w="3480"/>
    </w:tblGrid>
    <w:tr w:rsidR="00507694">
      <w:trPr>
        <w:trHeight w:hRule="exact" w:val="418"/>
        <w:jc w:val="center"/>
      </w:trPr>
      <w:sdt>
        <w:sdtPr>
          <w:rPr>
            <w:sz w:val="32"/>
            <w:szCs w:val="32"/>
            <w:rtl/>
          </w:rPr>
          <w:alias w:val="1174"/>
          <w:tag w:val="1174"/>
          <w:id w:val="-140351139"/>
          <w:text/>
        </w:sdtPr>
        <w:sdtEndPr/>
        <w:sdtContent>
          <w:tc>
            <w:tcPr>
              <w:tcW w:w="8861" w:type="dxa"/>
              <w:gridSpan w:val="2"/>
            </w:tcPr>
            <w:p w:rsidR="00507694" w:rsidRPr="00250B83" w:rsidRDefault="00684E84">
              <w:pPr>
                <w:pStyle w:val="a3"/>
                <w:jc w:val="center"/>
                <w:rPr>
                  <w:rFonts w:ascii="Tahoma" w:hAnsi="Tahoma"/>
                  <w:color w:val="000080"/>
                  <w:sz w:val="32"/>
                  <w:szCs w:val="32"/>
                  <w:rtl/>
                </w:rPr>
              </w:pPr>
              <w:r w:rsidRPr="00250B83">
                <w:rPr>
                  <w:rFonts w:ascii="Tahoma" w:hAnsi="Tahoma"/>
                  <w:b/>
                  <w:bCs/>
                  <w:color w:val="000080"/>
                  <w:sz w:val="32"/>
                  <w:szCs w:val="32"/>
                  <w:rtl/>
                </w:rPr>
                <w:t>בית משפט השלום בתל אביב - יפו</w:t>
              </w:r>
            </w:p>
          </w:tc>
        </w:sdtContent>
      </w:sdt>
    </w:tr>
    <w:tr w:rsidR="00507694">
      <w:trPr>
        <w:trHeight w:val="337"/>
        <w:jc w:val="center"/>
      </w:trPr>
      <w:tc>
        <w:tcPr>
          <w:tcW w:w="5131" w:type="dxa"/>
        </w:tcPr>
        <w:p w:rsidR="00507694" w:rsidRPr="004D24E2" w:rsidRDefault="00DF45C4" w:rsidP="004D24E2">
          <w:pPr>
            <w:rPr>
              <w:sz w:val="26"/>
              <w:szCs w:val="26"/>
              <w:rtl/>
            </w:rPr>
          </w:pPr>
          <w:sdt>
            <w:sdtPr>
              <w:rPr>
                <w:sz w:val="26"/>
                <w:szCs w:val="26"/>
                <w:rtl/>
              </w:rPr>
              <w:alias w:val="1170"/>
              <w:tag w:val="1170"/>
              <w:id w:val="2112628154"/>
              <w:text w:multiLine="1"/>
            </w:sdtPr>
            <w:sdtEndPr/>
            <w:sdtContent>
              <w:r w:rsidR="00A87018">
                <w:rPr>
                  <w:sz w:val="26"/>
                  <w:szCs w:val="26"/>
                  <w:rtl/>
                </w:rPr>
                <w:t>ת"פ</w:t>
              </w:r>
            </w:sdtContent>
          </w:sdt>
          <w:r w:rsidR="00684E84" w:rsidRPr="00250B83">
            <w:rPr>
              <w:rFonts w:hint="cs"/>
              <w:sz w:val="26"/>
              <w:szCs w:val="26"/>
              <w:rtl/>
            </w:rPr>
            <w:t xml:space="preserve"> </w:t>
          </w:r>
          <w:bookmarkStart w:id="1" w:name="_GoBack"/>
          <w:sdt>
            <w:sdtPr>
              <w:rPr>
                <w:sz w:val="26"/>
                <w:szCs w:val="26"/>
                <w:rtl/>
              </w:rPr>
              <w:alias w:val="1171"/>
              <w:tag w:val="1171"/>
              <w:id w:val="-1870053316"/>
              <w:text w:multiLine="1"/>
            </w:sdtPr>
            <w:sdtEndPr/>
            <w:sdtContent>
              <w:r w:rsidR="00A87018">
                <w:rPr>
                  <w:sz w:val="26"/>
                  <w:szCs w:val="26"/>
                  <w:rtl/>
                </w:rPr>
                <w:t>40009-06-20</w:t>
              </w:r>
            </w:sdtContent>
          </w:sdt>
          <w:bookmarkEnd w:id="1"/>
          <w:r w:rsidR="00684E84" w:rsidRPr="00250B83">
            <w:rPr>
              <w:rFonts w:hint="cs"/>
              <w:sz w:val="26"/>
              <w:szCs w:val="26"/>
              <w:rtl/>
            </w:rPr>
            <w:t xml:space="preserve"> </w:t>
          </w:r>
          <w:sdt>
            <w:sdtPr>
              <w:rPr>
                <w:b/>
                <w:bCs/>
                <w:sz w:val="26"/>
                <w:szCs w:val="26"/>
                <w:rtl/>
              </w:rPr>
              <w:alias w:val="1172"/>
              <w:tag w:val="1172"/>
              <w:id w:val="-2143494014"/>
              <w:text w:multiLine="1"/>
            </w:sdtPr>
            <w:sdtEndPr/>
            <w:sdtContent>
              <w:r w:rsidR="00A87018" w:rsidRPr="009E4024">
                <w:rPr>
                  <w:b/>
                  <w:bCs/>
                  <w:sz w:val="26"/>
                  <w:szCs w:val="26"/>
                  <w:rtl/>
                </w:rPr>
                <w:t>מדינת ישראל נ' עכל</w:t>
              </w:r>
            </w:sdtContent>
          </w:sdt>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716" w:rsidRDefault="00D837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5F21CA"/>
    <w:multiLevelType w:val="hybridMultilevel"/>
    <w:tmpl w:val="9448F7A0"/>
    <w:lvl w:ilvl="0" w:tplc="29AC2444">
      <w:start w:val="1"/>
      <w:numFmt w:val="hebrew1"/>
      <w:lvlText w:val="%1."/>
      <w:lvlJc w:val="left"/>
      <w:pPr>
        <w:ind w:left="728" w:hanging="360"/>
      </w:pPr>
      <w:rPr>
        <w:strike w:val="0"/>
        <w:dstrike w:val="0"/>
        <w:u w:val="none"/>
        <w:effect w:val="none"/>
      </w:r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1"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0C4461A"/>
    <w:multiLevelType w:val="hybridMultilevel"/>
    <w:tmpl w:val="41A00F2A"/>
    <w:lvl w:ilvl="0" w:tplc="44D03E22">
      <w:start w:val="1"/>
      <w:numFmt w:val="decimal"/>
      <w:lvlText w:val="%1."/>
      <w:lvlJc w:val="left"/>
      <w:pPr>
        <w:ind w:left="720" w:hanging="360"/>
      </w:pPr>
      <w:rPr>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5387FB4"/>
    <w:multiLevelType w:val="hybridMultilevel"/>
    <w:tmpl w:val="9448F7A0"/>
    <w:lvl w:ilvl="0" w:tplc="29AC2444">
      <w:start w:val="1"/>
      <w:numFmt w:val="hebrew1"/>
      <w:lvlText w:val="%1."/>
      <w:lvlJc w:val="left"/>
      <w:pPr>
        <w:ind w:left="728" w:hanging="360"/>
      </w:pPr>
      <w:rPr>
        <w:strike w:val="0"/>
        <w:dstrike w:val="0"/>
        <w:u w:val="none"/>
        <w:effect w:val="none"/>
      </w:r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4" w15:restartNumberingAfterBreak="0">
    <w:nsid w:val="39BF05D6"/>
    <w:multiLevelType w:val="hybridMultilevel"/>
    <w:tmpl w:val="9448F7A0"/>
    <w:lvl w:ilvl="0" w:tplc="29AC2444">
      <w:start w:val="1"/>
      <w:numFmt w:val="hebrew1"/>
      <w:lvlText w:val="%1."/>
      <w:lvlJc w:val="left"/>
      <w:pPr>
        <w:ind w:left="728" w:hanging="360"/>
      </w:pPr>
      <w:rPr>
        <w:strike w:val="0"/>
        <w:dstrike w:val="0"/>
        <w:u w:val="none"/>
        <w:effect w:val="none"/>
      </w:r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5" w15:restartNumberingAfterBreak="0">
    <w:nsid w:val="4B65310C"/>
    <w:multiLevelType w:val="hybridMultilevel"/>
    <w:tmpl w:val="9448F7A0"/>
    <w:lvl w:ilvl="0" w:tplc="29AC2444">
      <w:start w:val="1"/>
      <w:numFmt w:val="hebrew1"/>
      <w:lvlText w:val="%1."/>
      <w:lvlJc w:val="left"/>
      <w:pPr>
        <w:ind w:left="728" w:hanging="360"/>
      </w:pPr>
      <w:rPr>
        <w:strike w:val="0"/>
        <w:dstrike w:val="0"/>
        <w:u w:val="none"/>
        <w:effect w:val="none"/>
      </w:r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6" w15:restartNumberingAfterBreak="0">
    <w:nsid w:val="52281BE8"/>
    <w:multiLevelType w:val="hybridMultilevel"/>
    <w:tmpl w:val="AEC2C674"/>
    <w:lvl w:ilvl="0" w:tplc="D0F8553E">
      <w:start w:val="1"/>
      <w:numFmt w:val="decimal"/>
      <w:lvlText w:val="%1."/>
      <w:lvlJc w:val="left"/>
      <w:pPr>
        <w:tabs>
          <w:tab w:val="num" w:pos="1080"/>
        </w:tabs>
        <w:ind w:left="1080" w:hanging="720"/>
      </w:pPr>
      <w:rPr>
        <w:rFonts w:cs="David"/>
        <w:b w:val="0"/>
        <w:bCs w:val="0"/>
        <w:lang w:val="en-U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67772FD"/>
    <w:multiLevelType w:val="hybridMultilevel"/>
    <w:tmpl w:val="9448F7A0"/>
    <w:lvl w:ilvl="0" w:tplc="29AC2444">
      <w:start w:val="1"/>
      <w:numFmt w:val="hebrew1"/>
      <w:lvlText w:val="%1."/>
      <w:lvlJc w:val="left"/>
      <w:pPr>
        <w:ind w:left="728" w:hanging="360"/>
      </w:pPr>
      <w:rPr>
        <w:strike w:val="0"/>
        <w:dstrike w:val="0"/>
        <w:u w:val="none"/>
        <w:effect w:val="none"/>
      </w:r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9" w15:restartNumberingAfterBreak="0">
    <w:nsid w:val="7E210CD7"/>
    <w:multiLevelType w:val="hybridMultilevel"/>
    <w:tmpl w:val="9448F7A0"/>
    <w:lvl w:ilvl="0" w:tplc="29AC2444">
      <w:start w:val="1"/>
      <w:numFmt w:val="hebrew1"/>
      <w:lvlText w:val="%1."/>
      <w:lvlJc w:val="left"/>
      <w:pPr>
        <w:ind w:left="728" w:hanging="360"/>
      </w:pPr>
      <w:rPr>
        <w:strike w:val="0"/>
        <w:dstrike w:val="0"/>
        <w:u w:val="none"/>
        <w:effect w:val="none"/>
      </w:r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num w:numId="1">
    <w:abstractNumId w:val="7"/>
  </w:num>
  <w:num w:numId="2">
    <w:abstractNumId w:val="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9"/>
  </w:num>
  <w:num w:numId="8">
    <w:abstractNumId w:val="4"/>
  </w:num>
  <w:num w:numId="9">
    <w:abstractNumId w:val="0"/>
  </w:num>
  <w:num w:numId="10">
    <w:abstractNumId w:val="8"/>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27C5E"/>
    <w:rsid w:val="00031F8A"/>
    <w:rsid w:val="0004351B"/>
    <w:rsid w:val="00054FC4"/>
    <w:rsid w:val="0006726A"/>
    <w:rsid w:val="000D22AA"/>
    <w:rsid w:val="000D73BD"/>
    <w:rsid w:val="000E3B1B"/>
    <w:rsid w:val="000E5FB6"/>
    <w:rsid w:val="00100577"/>
    <w:rsid w:val="00121F73"/>
    <w:rsid w:val="001359DB"/>
    <w:rsid w:val="001621BC"/>
    <w:rsid w:val="001B4C78"/>
    <w:rsid w:val="001B6205"/>
    <w:rsid w:val="001C14F2"/>
    <w:rsid w:val="00212125"/>
    <w:rsid w:val="00212457"/>
    <w:rsid w:val="002505B9"/>
    <w:rsid w:val="00250B83"/>
    <w:rsid w:val="00267E41"/>
    <w:rsid w:val="002D2659"/>
    <w:rsid w:val="002D6C61"/>
    <w:rsid w:val="00305778"/>
    <w:rsid w:val="00367565"/>
    <w:rsid w:val="003B4EC1"/>
    <w:rsid w:val="003D1772"/>
    <w:rsid w:val="003D672C"/>
    <w:rsid w:val="003E0C9F"/>
    <w:rsid w:val="003F0FAD"/>
    <w:rsid w:val="00406479"/>
    <w:rsid w:val="004215DC"/>
    <w:rsid w:val="00432E02"/>
    <w:rsid w:val="0046117E"/>
    <w:rsid w:val="00487840"/>
    <w:rsid w:val="004D0F4F"/>
    <w:rsid w:val="004D24E2"/>
    <w:rsid w:val="00507694"/>
    <w:rsid w:val="005C7B0B"/>
    <w:rsid w:val="005D0C0C"/>
    <w:rsid w:val="005D70E0"/>
    <w:rsid w:val="006124FD"/>
    <w:rsid w:val="006263A0"/>
    <w:rsid w:val="00632D94"/>
    <w:rsid w:val="006466B3"/>
    <w:rsid w:val="00683ABD"/>
    <w:rsid w:val="00684E84"/>
    <w:rsid w:val="006C2095"/>
    <w:rsid w:val="006D0C0B"/>
    <w:rsid w:val="007537C9"/>
    <w:rsid w:val="00757983"/>
    <w:rsid w:val="007966F1"/>
    <w:rsid w:val="007F49EA"/>
    <w:rsid w:val="007F745F"/>
    <w:rsid w:val="00802774"/>
    <w:rsid w:val="00811B46"/>
    <w:rsid w:val="00821F29"/>
    <w:rsid w:val="0082781D"/>
    <w:rsid w:val="00832D73"/>
    <w:rsid w:val="008819B4"/>
    <w:rsid w:val="009356A6"/>
    <w:rsid w:val="009C7ED6"/>
    <w:rsid w:val="009D1498"/>
    <w:rsid w:val="009D2926"/>
    <w:rsid w:val="009E35A7"/>
    <w:rsid w:val="009E4024"/>
    <w:rsid w:val="009E49A1"/>
    <w:rsid w:val="009F504D"/>
    <w:rsid w:val="00A16A82"/>
    <w:rsid w:val="00A504C4"/>
    <w:rsid w:val="00A87018"/>
    <w:rsid w:val="00AC4073"/>
    <w:rsid w:val="00AC4243"/>
    <w:rsid w:val="00AF7C04"/>
    <w:rsid w:val="00B05847"/>
    <w:rsid w:val="00B21FAC"/>
    <w:rsid w:val="00B22E0A"/>
    <w:rsid w:val="00B94E4C"/>
    <w:rsid w:val="00BA0E6D"/>
    <w:rsid w:val="00BD67E7"/>
    <w:rsid w:val="00BE0015"/>
    <w:rsid w:val="00BF509B"/>
    <w:rsid w:val="00C02463"/>
    <w:rsid w:val="00C2421B"/>
    <w:rsid w:val="00C55E62"/>
    <w:rsid w:val="00C572E8"/>
    <w:rsid w:val="00C64B26"/>
    <w:rsid w:val="00C73778"/>
    <w:rsid w:val="00C8640E"/>
    <w:rsid w:val="00CE2F98"/>
    <w:rsid w:val="00D03A22"/>
    <w:rsid w:val="00D202F4"/>
    <w:rsid w:val="00D3203D"/>
    <w:rsid w:val="00D645C3"/>
    <w:rsid w:val="00D83716"/>
    <w:rsid w:val="00DD653B"/>
    <w:rsid w:val="00DD7FE5"/>
    <w:rsid w:val="00DF45C4"/>
    <w:rsid w:val="00E6589A"/>
    <w:rsid w:val="00E70F9C"/>
    <w:rsid w:val="00EA0AF7"/>
    <w:rsid w:val="00EE7583"/>
    <w:rsid w:val="00F02050"/>
    <w:rsid w:val="00F14BFE"/>
    <w:rsid w:val="00F20F3D"/>
    <w:rsid w:val="00F26B86"/>
    <w:rsid w:val="00F51B84"/>
    <w:rsid w:val="00F67479"/>
    <w:rsid w:val="00F741B1"/>
    <w:rsid w:val="00F75AFC"/>
    <w:rsid w:val="00FB14A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paragraph" w:styleId="aa">
    <w:name w:val="List Paragraph"/>
    <w:basedOn w:val="a"/>
    <w:uiPriority w:val="34"/>
    <w:qFormat/>
    <w:rsid w:val="000D22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52199">
      <w:bodyDiv w:val="1"/>
      <w:marLeft w:val="0"/>
      <w:marRight w:val="0"/>
      <w:marTop w:val="0"/>
      <w:marBottom w:val="0"/>
      <w:divBdr>
        <w:top w:val="none" w:sz="0" w:space="0" w:color="auto"/>
        <w:left w:val="none" w:sz="0" w:space="0" w:color="auto"/>
        <w:bottom w:val="none" w:sz="0" w:space="0" w:color="auto"/>
        <w:right w:val="none" w:sz="0" w:space="0" w:color="auto"/>
      </w:divBdr>
    </w:div>
    <w:div w:id="388845836">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209644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3211</Words>
  <Characters>16056</Characters>
  <Application>Microsoft Office Word</Application>
  <DocSecurity>0</DocSecurity>
  <Lines>133</Lines>
  <Paragraphs>38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2023-06-11T13:01:00Z</dcterms:created>
  <dcterms:modified xsi:type="dcterms:W3CDTF">2023-06-11T13:01:00Z</dcterms:modified>
</cp:coreProperties>
</file>